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2AB4" w14:textId="77777777" w:rsidR="001C41E4" w:rsidRPr="003348A3" w:rsidRDefault="001C41E4" w:rsidP="001C41E4">
      <w:pPr>
        <w:jc w:val="center"/>
        <w:rPr>
          <w:rFonts w:asciiTheme="majorBidi" w:eastAsia="Times New Roman" w:hAnsiTheme="majorBidi" w:cstheme="majorBidi"/>
          <w:i/>
          <w:sz w:val="28"/>
          <w:szCs w:val="28"/>
        </w:rPr>
      </w:pPr>
      <w:r w:rsidRPr="003348A3">
        <w:rPr>
          <w:noProof/>
          <w:sz w:val="28"/>
          <w:szCs w:val="28"/>
        </w:rPr>
        <w:drawing>
          <wp:inline distT="0" distB="0" distL="0" distR="0" wp14:anchorId="369B8F5A" wp14:editId="08D74830">
            <wp:extent cx="2171352" cy="506186"/>
            <wp:effectExtent l="0" t="0" r="0" b="8255"/>
            <wp:docPr id="1037936590"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36590" name="Picture 3"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352" cy="506186"/>
                    </a:xfrm>
                    <a:prstGeom prst="rect">
                      <a:avLst/>
                    </a:prstGeom>
                  </pic:spPr>
                </pic:pic>
              </a:graphicData>
            </a:graphic>
          </wp:inline>
        </w:drawing>
      </w:r>
    </w:p>
    <w:p w14:paraId="5CAAF1F0" w14:textId="77777777" w:rsidR="001C41E4" w:rsidRPr="003348A3" w:rsidRDefault="001C41E4" w:rsidP="001C41E4">
      <w:pPr>
        <w:rPr>
          <w:rFonts w:asciiTheme="majorBidi" w:eastAsia="Times New Roman" w:hAnsiTheme="majorBidi" w:cstheme="majorBidi"/>
          <w:i/>
          <w:sz w:val="28"/>
          <w:szCs w:val="28"/>
        </w:rPr>
      </w:pPr>
    </w:p>
    <w:p w14:paraId="25106705" w14:textId="77777777" w:rsidR="001C41E4" w:rsidRPr="003348A3" w:rsidRDefault="001C41E4" w:rsidP="001C41E4">
      <w:pPr>
        <w:jc w:val="right"/>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بيان الدورة السابعة والخمسين لمجلس حقوق الإنسان التابع للأمم المتحدة</w:t>
      </w:r>
    </w:p>
    <w:p w14:paraId="014CF4B3"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البند: نتائج الاستعراض الدوري الشامل لليمن</w:t>
      </w:r>
    </w:p>
    <w:p w14:paraId="00542E41"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المتحدث: أكرم الشوافي</w:t>
      </w:r>
    </w:p>
    <w:p w14:paraId="387F2212"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التاريخ: 26 سبتمبر 2024</w:t>
      </w:r>
    </w:p>
    <w:p w14:paraId="004AE332" w14:textId="77777777" w:rsidR="001C41E4" w:rsidRPr="003348A3" w:rsidRDefault="001C41E4" w:rsidP="001C41E4">
      <w:pPr>
        <w:bidi/>
        <w:jc w:val="both"/>
        <w:rPr>
          <w:rFonts w:asciiTheme="majorBidi" w:eastAsia="Times New Roman" w:hAnsiTheme="majorBidi" w:cstheme="majorBidi"/>
          <w:i/>
          <w:sz w:val="28"/>
          <w:szCs w:val="28"/>
        </w:rPr>
      </w:pPr>
    </w:p>
    <w:p w14:paraId="53FAAA4A"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السيد الرئيس،</w:t>
      </w:r>
    </w:p>
    <w:p w14:paraId="5263AA68" w14:textId="77777777" w:rsidR="001C41E4" w:rsidRPr="003348A3" w:rsidRDefault="001C41E4" w:rsidP="001C41E4">
      <w:pPr>
        <w:bidi/>
        <w:jc w:val="both"/>
        <w:rPr>
          <w:rFonts w:asciiTheme="majorBidi" w:eastAsia="Times New Roman" w:hAnsiTheme="majorBidi" w:cstheme="majorBidi"/>
          <w:i/>
          <w:sz w:val="28"/>
          <w:szCs w:val="28"/>
        </w:rPr>
      </w:pPr>
    </w:p>
    <w:p w14:paraId="548D319F"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 xml:space="preserve">هذا بيان مشترك نيابة عن الخدمة الدولية لحقوق الإنسان </w:t>
      </w:r>
      <w:r w:rsidRPr="003348A3">
        <w:rPr>
          <w:rFonts w:asciiTheme="majorBidi" w:eastAsia="Times New Roman" w:hAnsiTheme="majorBidi" w:cstheme="majorBidi"/>
          <w:i/>
          <w:sz w:val="28"/>
          <w:szCs w:val="28"/>
          <w:rtl/>
          <w:lang w:bidi="ar-SY"/>
        </w:rPr>
        <w:t>وتحالف ميثاق</w:t>
      </w:r>
      <w:r w:rsidRPr="003348A3">
        <w:rPr>
          <w:rFonts w:asciiTheme="majorBidi" w:eastAsia="Times New Roman" w:hAnsiTheme="majorBidi" w:cstheme="majorBidi"/>
          <w:i/>
          <w:sz w:val="28"/>
          <w:szCs w:val="28"/>
          <w:rtl/>
        </w:rPr>
        <w:t xml:space="preserve"> العدالة من أجل اليمن ومعهد دي تي</w:t>
      </w:r>
      <w:r w:rsidRPr="003348A3">
        <w:rPr>
          <w:rFonts w:asciiTheme="majorBidi" w:eastAsia="Times New Roman" w:hAnsiTheme="majorBidi" w:cstheme="majorBidi"/>
          <w:i/>
          <w:sz w:val="28"/>
          <w:szCs w:val="28"/>
        </w:rPr>
        <w:t>.</w:t>
      </w:r>
    </w:p>
    <w:p w14:paraId="47B5726F" w14:textId="77777777" w:rsidR="001C41E4" w:rsidRPr="003348A3" w:rsidRDefault="001C41E4" w:rsidP="001C41E4">
      <w:pPr>
        <w:bidi/>
        <w:jc w:val="both"/>
        <w:rPr>
          <w:rFonts w:asciiTheme="majorBidi" w:eastAsia="Times New Roman" w:hAnsiTheme="majorBidi" w:cstheme="majorBidi"/>
          <w:i/>
          <w:sz w:val="28"/>
          <w:szCs w:val="28"/>
        </w:rPr>
      </w:pPr>
    </w:p>
    <w:p w14:paraId="16F3E5B7"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 xml:space="preserve">اسمي أكرم الشوافي، وأنا مدافع </w:t>
      </w:r>
      <w:r w:rsidRPr="003348A3">
        <w:rPr>
          <w:rFonts w:asciiTheme="majorBidi" w:eastAsia="Times New Roman" w:hAnsiTheme="majorBidi" w:cstheme="majorBidi"/>
          <w:i/>
          <w:sz w:val="28"/>
          <w:szCs w:val="28"/>
          <w:rtl/>
          <w:lang w:bidi="ar-EG"/>
        </w:rPr>
        <w:t xml:space="preserve">يمني </w:t>
      </w:r>
      <w:r w:rsidRPr="003348A3">
        <w:rPr>
          <w:rFonts w:asciiTheme="majorBidi" w:eastAsia="Times New Roman" w:hAnsiTheme="majorBidi" w:cstheme="majorBidi"/>
          <w:i/>
          <w:sz w:val="28"/>
          <w:szCs w:val="28"/>
          <w:rtl/>
        </w:rPr>
        <w:t xml:space="preserve">عن حقوق الإنسان ورئيس مؤسسة رصد لحقوق الانسان، وهي جزء </w:t>
      </w:r>
      <w:r w:rsidRPr="003348A3">
        <w:rPr>
          <w:rFonts w:asciiTheme="majorBidi" w:eastAsia="Times New Roman" w:hAnsiTheme="majorBidi" w:cstheme="majorBidi"/>
          <w:i/>
          <w:sz w:val="28"/>
          <w:szCs w:val="28"/>
          <w:rtl/>
          <w:lang w:bidi="ar-SY"/>
        </w:rPr>
        <w:t>تحالف ميثاق</w:t>
      </w:r>
      <w:r w:rsidRPr="003348A3">
        <w:rPr>
          <w:rFonts w:asciiTheme="majorBidi" w:eastAsia="Times New Roman" w:hAnsiTheme="majorBidi" w:cstheme="majorBidi"/>
          <w:i/>
          <w:sz w:val="28"/>
          <w:szCs w:val="28"/>
          <w:rtl/>
        </w:rPr>
        <w:t xml:space="preserve"> العدالة من أجل اليمن</w:t>
      </w:r>
      <w:r w:rsidRPr="003348A3">
        <w:rPr>
          <w:rFonts w:asciiTheme="majorBidi" w:eastAsia="Times New Roman" w:hAnsiTheme="majorBidi" w:cstheme="majorBidi"/>
          <w:i/>
          <w:sz w:val="28"/>
          <w:szCs w:val="28"/>
        </w:rPr>
        <w:t>.</w:t>
      </w:r>
    </w:p>
    <w:p w14:paraId="25C06BB5" w14:textId="77777777" w:rsidR="001C41E4" w:rsidRPr="003348A3" w:rsidRDefault="001C41E4" w:rsidP="001C41E4">
      <w:pPr>
        <w:bidi/>
        <w:jc w:val="both"/>
        <w:rPr>
          <w:rFonts w:asciiTheme="majorBidi" w:eastAsia="Times New Roman" w:hAnsiTheme="majorBidi" w:cstheme="majorBidi"/>
          <w:i/>
          <w:sz w:val="28"/>
          <w:szCs w:val="28"/>
        </w:rPr>
      </w:pPr>
    </w:p>
    <w:p w14:paraId="61F0CA81"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مع اعتماد المجلس للاستعراض الدوري الشامل لليمن، اشتدت حملة القمع على المجتمع المدني إلى الحد الذي يهدد بقاءه في البلاد. ويحدث هذا في سياق عدم الاستقرار الإقليمي الذي يتغذى على الإفلات من العقاب. حيث يتم اعتقال العشرات من الأفراد، بما في ذلك أولئك الذين يعملون مع وكالات الأمم المتحدة ومنظمات المجتمع المدني، بشكل تعسفي واخفائهم قسراً</w:t>
      </w:r>
      <w:r w:rsidRPr="003348A3">
        <w:rPr>
          <w:rFonts w:asciiTheme="majorBidi" w:eastAsia="Times New Roman" w:hAnsiTheme="majorBidi" w:cstheme="majorBidi"/>
          <w:i/>
          <w:sz w:val="28"/>
          <w:szCs w:val="28"/>
        </w:rPr>
        <w:t>.</w:t>
      </w:r>
    </w:p>
    <w:p w14:paraId="6D95A934" w14:textId="77777777" w:rsidR="001C41E4" w:rsidRPr="003348A3" w:rsidRDefault="001C41E4" w:rsidP="001C41E4">
      <w:pPr>
        <w:bidi/>
        <w:jc w:val="both"/>
        <w:rPr>
          <w:rFonts w:asciiTheme="majorBidi" w:eastAsia="Times New Roman" w:hAnsiTheme="majorBidi" w:cstheme="majorBidi"/>
          <w:i/>
          <w:sz w:val="28"/>
          <w:szCs w:val="28"/>
        </w:rPr>
      </w:pPr>
    </w:p>
    <w:p w14:paraId="218910C6"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في حين ترحب منظماتنا بقبول اليمن التصديق على الاتفاقية الدولية لحماية جميع الأشخاص من الاختفاء القسري والبروتوكول الاختياري لاتفاقية مناهضة التعذيب، فقد حان الوقت في تطبيق هذه المعاهدات والإفراج عن جميع المعتقلين تعسفياً. وإننا ندين الفشل في اعتماد توصيات حاسمة لحماية المدافعين عن حقوق الإنسان والصحفيين الذين لا يزالون هدفاً لجميع أطراف النزاع، والكشف عن مصير المختفين وإلغاء عقوبة الإعدام</w:t>
      </w:r>
      <w:r w:rsidRPr="003348A3">
        <w:rPr>
          <w:rFonts w:asciiTheme="majorBidi" w:eastAsia="Times New Roman" w:hAnsiTheme="majorBidi" w:cstheme="majorBidi"/>
          <w:i/>
          <w:sz w:val="28"/>
          <w:szCs w:val="28"/>
        </w:rPr>
        <w:t>.</w:t>
      </w:r>
    </w:p>
    <w:p w14:paraId="22555087" w14:textId="77777777" w:rsidR="001C41E4" w:rsidRPr="003348A3" w:rsidRDefault="001C41E4" w:rsidP="001C41E4">
      <w:pPr>
        <w:bidi/>
        <w:jc w:val="both"/>
        <w:rPr>
          <w:rFonts w:asciiTheme="majorBidi" w:eastAsia="Times New Roman" w:hAnsiTheme="majorBidi" w:cstheme="majorBidi"/>
          <w:i/>
          <w:sz w:val="28"/>
          <w:szCs w:val="28"/>
        </w:rPr>
      </w:pPr>
    </w:p>
    <w:p w14:paraId="3DFF014B" w14:textId="77777777" w:rsidR="001C41E4" w:rsidRPr="003348A3" w:rsidRDefault="001C41E4" w:rsidP="001C41E4">
      <w:pPr>
        <w:bidi/>
        <w:jc w:val="both"/>
        <w:rPr>
          <w:rFonts w:asciiTheme="majorBidi" w:eastAsia="Times New Roman" w:hAnsiTheme="majorBidi" w:cstheme="majorBidi"/>
          <w:i/>
          <w:sz w:val="28"/>
          <w:szCs w:val="28"/>
          <w:rtl/>
        </w:rPr>
      </w:pPr>
      <w:r w:rsidRPr="003348A3">
        <w:rPr>
          <w:rFonts w:asciiTheme="majorBidi" w:eastAsia="Times New Roman" w:hAnsiTheme="majorBidi" w:cstheme="majorBidi"/>
          <w:i/>
          <w:sz w:val="28"/>
          <w:szCs w:val="28"/>
          <w:rtl/>
        </w:rPr>
        <w:t>في عام 2023، وثق أعضاء التحالف 309 انتهاكات جسيمة ضد الأطفال، بما في ذلك حالات القتل والتشويه، وتجنيد الأطفال، والهجمات على المدارس والمستشفيات، والاختطاف، ومنع الوصول الإنساني، فضلاً عن العنف الجنسي والعنف القائم على النوع الاجتماعي. ومنذ وقف إطلاق النار في عام 2022، كان هناك ارتفاع في عدد الأطفال الذين قتلوا وجرحوا بسبب الألغام الأرضية والذخائر غير المنفجرة. وفي الفترة من 2014 إلى 2023، وثّق التحالف اليمني لرصد انتهاكات حقوق الإنسان أكثر من 1929 حالة وفاة بين المدنيين وتدمير أو إتلاف أكثر من 2872 منشأة عامة وخاصة بسبب الألغام المضادة للأفراد أو المضادة للمركبات. كما نأسف لفشل اليمن في اعتماد التوصية بالتوقيع على الإعلان السياسي بشأن تعزيز حماية المدنيين من العواقب الإنسانية الناجمة عن استخدام الأسلحة المتفجرة في المناطق المأهولة بالسكان</w:t>
      </w:r>
      <w:r w:rsidRPr="003348A3">
        <w:rPr>
          <w:rFonts w:asciiTheme="majorBidi" w:eastAsia="Times New Roman" w:hAnsiTheme="majorBidi" w:cstheme="majorBidi"/>
          <w:i/>
          <w:sz w:val="28"/>
          <w:szCs w:val="28"/>
        </w:rPr>
        <w:t>.</w:t>
      </w:r>
    </w:p>
    <w:p w14:paraId="7AE16133" w14:textId="77777777" w:rsidR="001C41E4" w:rsidRPr="003348A3" w:rsidRDefault="001C41E4" w:rsidP="001C41E4">
      <w:pPr>
        <w:bidi/>
        <w:jc w:val="both"/>
        <w:rPr>
          <w:rFonts w:asciiTheme="majorBidi" w:eastAsia="Times New Roman" w:hAnsiTheme="majorBidi" w:cstheme="majorBidi"/>
          <w:i/>
          <w:sz w:val="28"/>
          <w:szCs w:val="28"/>
        </w:rPr>
      </w:pPr>
    </w:p>
    <w:p w14:paraId="335AE241" w14:textId="77777777" w:rsidR="001C41E4" w:rsidRPr="003348A3" w:rsidRDefault="001C41E4" w:rsidP="001C41E4">
      <w:pPr>
        <w:bidi/>
        <w:jc w:val="both"/>
        <w:rPr>
          <w:rFonts w:asciiTheme="majorBidi" w:eastAsia="Times New Roman" w:hAnsiTheme="majorBidi" w:cstheme="majorBidi"/>
          <w:i/>
          <w:sz w:val="28"/>
          <w:szCs w:val="28"/>
          <w:rtl/>
        </w:rPr>
      </w:pPr>
      <w:r w:rsidRPr="003348A3">
        <w:rPr>
          <w:rFonts w:asciiTheme="majorBidi" w:eastAsia="Times New Roman" w:hAnsiTheme="majorBidi" w:cstheme="majorBidi"/>
          <w:i/>
          <w:sz w:val="28"/>
          <w:szCs w:val="28"/>
          <w:rtl/>
        </w:rPr>
        <w:lastRenderedPageBreak/>
        <w:t>و</w:t>
      </w:r>
      <w:r w:rsidRPr="003348A3">
        <w:rPr>
          <w:rFonts w:asciiTheme="majorBidi" w:eastAsia="Times New Roman" w:hAnsiTheme="majorBidi" w:cstheme="majorBidi"/>
          <w:i/>
          <w:sz w:val="28"/>
          <w:szCs w:val="28"/>
          <w:rtl/>
          <w:lang w:bidi="ar-EG"/>
        </w:rPr>
        <w:t>ن</w:t>
      </w:r>
      <w:r w:rsidRPr="003348A3">
        <w:rPr>
          <w:rFonts w:asciiTheme="majorBidi" w:eastAsia="Times New Roman" w:hAnsiTheme="majorBidi" w:cstheme="majorBidi"/>
          <w:i/>
          <w:sz w:val="28"/>
          <w:szCs w:val="28"/>
          <w:rtl/>
        </w:rPr>
        <w:t>ؤكد أن المساءلة شرط أساسي للعدالة الانتقالية القائمة على حقوق الإنسان. وفي حين قبلت اليمن بعض التوصيات التي تدعو البلاد إلى اتخاذ التدابير اللازمة لضمان المساءلة وتعويض الضحايا، فإننا نحث اليمن على إعادة النظر في التوصيات الرئيسية المتعلقة بالمسائلة، بما في ذلك:</w:t>
      </w:r>
    </w:p>
    <w:p w14:paraId="40A6B3DA" w14:textId="77777777" w:rsidR="001C41E4" w:rsidRPr="003348A3" w:rsidRDefault="001C41E4" w:rsidP="001C41E4">
      <w:pPr>
        <w:pStyle w:val="ListParagraph"/>
        <w:numPr>
          <w:ilvl w:val="0"/>
          <w:numId w:val="1"/>
        </w:num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اتخاذ خطوات فعالة للتحقيق بشكل مستقل ونزيه في جرائم الحرب والجرائم ضد الإنسانية التي ارتكبها كل اطراف النزاع في اليمن،</w:t>
      </w:r>
    </w:p>
    <w:p w14:paraId="564E7CAC" w14:textId="77777777" w:rsidR="001C41E4" w:rsidRPr="003348A3" w:rsidRDefault="001C41E4" w:rsidP="001C41E4">
      <w:pPr>
        <w:pStyle w:val="ListParagraph"/>
        <w:numPr>
          <w:ilvl w:val="0"/>
          <w:numId w:val="1"/>
        </w:num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ودعوة الإجراءات الخاصة التابعة للامم المتحدة، بما في ذلك الولايات المتعلقة بالتعذيب والاحتجاز التعسفي والمدافعين عن حقوق الإنسان والعدالة الانتقالية لزيارة اليمن،</w:t>
      </w:r>
    </w:p>
    <w:p w14:paraId="1C11C175" w14:textId="77777777" w:rsidR="001C41E4" w:rsidRPr="003348A3" w:rsidRDefault="001C41E4" w:rsidP="001C41E4">
      <w:pPr>
        <w:pStyle w:val="ListParagraph"/>
        <w:numPr>
          <w:ilvl w:val="0"/>
          <w:numId w:val="1"/>
        </w:numPr>
        <w:bidi/>
        <w:jc w:val="both"/>
        <w:rPr>
          <w:rFonts w:asciiTheme="majorBidi" w:eastAsia="Times New Roman" w:hAnsiTheme="majorBidi" w:cstheme="majorBidi"/>
          <w:i/>
          <w:sz w:val="28"/>
          <w:szCs w:val="28"/>
          <w:rtl/>
        </w:rPr>
      </w:pPr>
      <w:r w:rsidRPr="003348A3">
        <w:rPr>
          <w:rFonts w:asciiTheme="majorBidi" w:eastAsia="Times New Roman" w:hAnsiTheme="majorBidi" w:cstheme="majorBidi"/>
          <w:i/>
          <w:sz w:val="28"/>
          <w:szCs w:val="28"/>
          <w:rtl/>
        </w:rPr>
        <w:t>واعتماد نظام روما للمحكمة الجنائية الدولية</w:t>
      </w:r>
      <w:r w:rsidRPr="003348A3">
        <w:rPr>
          <w:rFonts w:asciiTheme="majorBidi" w:eastAsia="Times New Roman" w:hAnsiTheme="majorBidi" w:cstheme="majorBidi"/>
          <w:i/>
          <w:sz w:val="28"/>
          <w:szCs w:val="28"/>
        </w:rPr>
        <w:t>.</w:t>
      </w:r>
    </w:p>
    <w:p w14:paraId="7037595A" w14:textId="77777777" w:rsidR="001C41E4" w:rsidRPr="003348A3" w:rsidRDefault="001C41E4" w:rsidP="001C41E4">
      <w:pPr>
        <w:bidi/>
        <w:jc w:val="both"/>
        <w:rPr>
          <w:rFonts w:asciiTheme="majorBidi" w:eastAsia="Times New Roman" w:hAnsiTheme="majorBidi" w:cstheme="majorBidi"/>
          <w:i/>
          <w:sz w:val="28"/>
          <w:szCs w:val="28"/>
        </w:rPr>
      </w:pPr>
    </w:p>
    <w:p w14:paraId="166BC636" w14:textId="77777777" w:rsidR="001C41E4" w:rsidRPr="003348A3" w:rsidRDefault="001C41E4" w:rsidP="001C41E4">
      <w:pPr>
        <w:bidi/>
        <w:jc w:val="both"/>
        <w:rPr>
          <w:rFonts w:asciiTheme="majorBidi" w:eastAsia="Times New Roman" w:hAnsiTheme="majorBidi" w:cstheme="majorBidi"/>
          <w:i/>
          <w:sz w:val="28"/>
          <w:szCs w:val="28"/>
        </w:rPr>
      </w:pPr>
      <w:r w:rsidRPr="003348A3">
        <w:rPr>
          <w:rFonts w:asciiTheme="majorBidi" w:eastAsia="Times New Roman" w:hAnsiTheme="majorBidi" w:cstheme="majorBidi"/>
          <w:i/>
          <w:sz w:val="28"/>
          <w:szCs w:val="28"/>
          <w:rtl/>
        </w:rPr>
        <w:t>شكرا لكم</w:t>
      </w:r>
    </w:p>
    <w:p w14:paraId="3F9FCA7A" w14:textId="77777777" w:rsidR="001C41E4" w:rsidRPr="003348A3" w:rsidRDefault="001C41E4" w:rsidP="001C41E4">
      <w:pPr>
        <w:jc w:val="both"/>
        <w:rPr>
          <w:rFonts w:asciiTheme="majorBidi" w:eastAsia="Times New Roman" w:hAnsiTheme="majorBidi" w:cstheme="majorBidi"/>
          <w:i/>
          <w:sz w:val="28"/>
          <w:szCs w:val="28"/>
          <w:rtl/>
        </w:rPr>
      </w:pPr>
    </w:p>
    <w:p w14:paraId="70278162" w14:textId="77777777" w:rsidR="001C41E4" w:rsidRPr="003348A3" w:rsidRDefault="001C41E4" w:rsidP="001C41E4">
      <w:pPr>
        <w:spacing w:after="240"/>
        <w:jc w:val="both"/>
        <w:rPr>
          <w:rFonts w:asciiTheme="majorBidi" w:eastAsia="Times New Roman" w:hAnsiTheme="majorBidi" w:cstheme="majorBidi"/>
          <w:sz w:val="28"/>
          <w:szCs w:val="28"/>
        </w:rPr>
      </w:pPr>
    </w:p>
    <w:p w14:paraId="55134DAE" w14:textId="77777777" w:rsidR="00C847A5" w:rsidRDefault="00C847A5"/>
    <w:sectPr w:rsidR="00C847A5" w:rsidSect="001C4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336D9"/>
    <w:multiLevelType w:val="hybridMultilevel"/>
    <w:tmpl w:val="B29EE9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0125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E4"/>
    <w:rsid w:val="001C41E4"/>
    <w:rsid w:val="00643EAF"/>
    <w:rsid w:val="00977501"/>
    <w:rsid w:val="00C847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92D7"/>
  <w15:chartTrackingRefBased/>
  <w15:docId w15:val="{091F7675-416E-4018-AA81-96940334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E4"/>
    <w:pPr>
      <w:spacing w:after="0"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1C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1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1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1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1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1E4"/>
    <w:rPr>
      <w:rFonts w:eastAsiaTheme="majorEastAsia" w:cstheme="majorBidi"/>
      <w:color w:val="272727" w:themeColor="text1" w:themeTint="D8"/>
    </w:rPr>
  </w:style>
  <w:style w:type="paragraph" w:styleId="Title">
    <w:name w:val="Title"/>
    <w:basedOn w:val="Normal"/>
    <w:next w:val="Normal"/>
    <w:link w:val="TitleChar"/>
    <w:uiPriority w:val="10"/>
    <w:qFormat/>
    <w:rsid w:val="001C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1E4"/>
    <w:pPr>
      <w:spacing w:before="160"/>
      <w:jc w:val="center"/>
    </w:pPr>
    <w:rPr>
      <w:i/>
      <w:iCs/>
      <w:color w:val="404040" w:themeColor="text1" w:themeTint="BF"/>
    </w:rPr>
  </w:style>
  <w:style w:type="character" w:customStyle="1" w:styleId="QuoteChar">
    <w:name w:val="Quote Char"/>
    <w:basedOn w:val="DefaultParagraphFont"/>
    <w:link w:val="Quote"/>
    <w:uiPriority w:val="29"/>
    <w:rsid w:val="001C41E4"/>
    <w:rPr>
      <w:i/>
      <w:iCs/>
      <w:color w:val="404040" w:themeColor="text1" w:themeTint="BF"/>
    </w:rPr>
  </w:style>
  <w:style w:type="paragraph" w:styleId="ListParagraph">
    <w:name w:val="List Paragraph"/>
    <w:basedOn w:val="Normal"/>
    <w:uiPriority w:val="34"/>
    <w:qFormat/>
    <w:rsid w:val="001C41E4"/>
    <w:pPr>
      <w:ind w:left="720"/>
      <w:contextualSpacing/>
    </w:pPr>
  </w:style>
  <w:style w:type="character" w:styleId="IntenseEmphasis">
    <w:name w:val="Intense Emphasis"/>
    <w:basedOn w:val="DefaultParagraphFont"/>
    <w:uiPriority w:val="21"/>
    <w:qFormat/>
    <w:rsid w:val="001C41E4"/>
    <w:rPr>
      <w:i/>
      <w:iCs/>
      <w:color w:val="0F4761" w:themeColor="accent1" w:themeShade="BF"/>
    </w:rPr>
  </w:style>
  <w:style w:type="paragraph" w:styleId="IntenseQuote">
    <w:name w:val="Intense Quote"/>
    <w:basedOn w:val="Normal"/>
    <w:next w:val="Normal"/>
    <w:link w:val="IntenseQuoteChar"/>
    <w:uiPriority w:val="30"/>
    <w:qFormat/>
    <w:rsid w:val="001C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1E4"/>
    <w:rPr>
      <w:i/>
      <w:iCs/>
      <w:color w:val="0F4761" w:themeColor="accent1" w:themeShade="BF"/>
    </w:rPr>
  </w:style>
  <w:style w:type="character" w:styleId="IntenseReference">
    <w:name w:val="Intense Reference"/>
    <w:basedOn w:val="DefaultParagraphFont"/>
    <w:uiPriority w:val="32"/>
    <w:qFormat/>
    <w:rsid w:val="001C4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Awad</dc:creator>
  <cp:keywords/>
  <dc:description/>
  <cp:lastModifiedBy>Nada Awad</cp:lastModifiedBy>
  <cp:revision>1</cp:revision>
  <dcterms:created xsi:type="dcterms:W3CDTF">2024-10-08T09:10:00Z</dcterms:created>
  <dcterms:modified xsi:type="dcterms:W3CDTF">2024-10-08T09:10:00Z</dcterms:modified>
</cp:coreProperties>
</file>