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before="240" w:lineRule="auto"/>
        <w:jc w:val="center"/>
        <w:rPr>
          <w:rFonts w:ascii="Open Sans" w:cs="Open Sans" w:eastAsia="Open Sans" w:hAnsi="Open Sans"/>
          <w:color w:val="000000"/>
        </w:rPr>
      </w:pPr>
      <w:r w:rsidDel="00000000" w:rsidR="00000000" w:rsidRPr="00000000">
        <w:rPr>
          <w:rFonts w:ascii="Open Sans" w:cs="Open Sans" w:eastAsia="Open Sans" w:hAnsi="Open Sans"/>
          <w:b w:val="1"/>
          <w:sz w:val="32"/>
          <w:szCs w:val="32"/>
          <w:rtl w:val="0"/>
        </w:rPr>
        <w:t xml:space="preserve">Formation sur la collaboration avec la Commission africaine des droits de l'homme et des peuples (CADHP) </w:t>
      </w:r>
      <w:r w:rsidDel="00000000" w:rsidR="00000000" w:rsidRPr="00000000">
        <w:rPr>
          <w:rFonts w:ascii="Open Sans" w:cs="Open Sans" w:eastAsia="Open Sans" w:hAnsi="Open Sans"/>
          <w:b w:val="1"/>
          <w:color w:val="000000"/>
          <w:sz w:val="32"/>
          <w:szCs w:val="32"/>
          <w:rtl w:val="0"/>
        </w:rPr>
        <w:t xml:space="preserve">: </w:t>
      </w:r>
      <w:r w:rsidDel="00000000" w:rsidR="00000000" w:rsidRPr="00000000">
        <w:rPr>
          <w:rFonts w:ascii="Open Sans" w:cs="Open Sans" w:eastAsia="Open Sans" w:hAnsi="Open Sans"/>
          <w:b w:val="1"/>
          <w:color w:val="c00000"/>
          <w:sz w:val="32"/>
          <w:szCs w:val="32"/>
          <w:rtl w:val="0"/>
        </w:rPr>
        <w:t xml:space="preserve">Description</w:t>
      </w:r>
      <w:r w:rsidDel="00000000" w:rsidR="00000000" w:rsidRPr="00000000">
        <w:rPr>
          <w:rtl w:val="0"/>
        </w:rPr>
      </w:r>
    </w:p>
    <w:p w:rsidR="00000000" w:rsidDel="00000000" w:rsidP="00000000" w:rsidRDefault="00000000" w:rsidRPr="00000000" w14:paraId="00000002">
      <w:pPr>
        <w:jc w:val="center"/>
        <w:rPr>
          <w:rFonts w:ascii="Open Sans" w:cs="Open Sans" w:eastAsia="Open Sans" w:hAnsi="Open Sans"/>
        </w:rPr>
      </w:pPr>
      <w:r w:rsidDel="00000000" w:rsidR="00000000" w:rsidRPr="00000000">
        <w:rPr>
          <w:rFonts w:ascii="Open Sans" w:cs="Open Sans" w:eastAsia="Open Sans" w:hAnsi="Open Sans"/>
          <w:u w:val="single"/>
          <w:rtl w:val="0"/>
        </w:rPr>
        <w:t xml:space="preserve">Cours en présentiel </w:t>
      </w:r>
      <w:r w:rsidDel="00000000" w:rsidR="00000000" w:rsidRPr="00000000">
        <w:rPr>
          <w:rFonts w:ascii="Open Sans" w:cs="Open Sans" w:eastAsia="Open Sans" w:hAnsi="Open Sans"/>
          <w:rtl w:val="0"/>
        </w:rPr>
        <w:t xml:space="preserve">: </w:t>
      </w:r>
      <w:r w:rsidDel="00000000" w:rsidR="00000000" w:rsidRPr="00000000">
        <w:rPr>
          <w:rFonts w:ascii="Open Sans" w:cs="Open Sans" w:eastAsia="Open Sans" w:hAnsi="Open Sans"/>
          <w:highlight w:val="yellow"/>
          <w:rtl w:val="0"/>
        </w:rPr>
        <w:t xml:space="preserve">mi-octobre 2025 </w:t>
      </w:r>
      <w:r w:rsidDel="00000000" w:rsidR="00000000" w:rsidRPr="00000000">
        <w:rPr>
          <w:rFonts w:ascii="Open Sans" w:cs="Open Sans" w:eastAsia="Open Sans" w:hAnsi="Open Sans"/>
          <w:rtl w:val="0"/>
        </w:rPr>
        <w:t xml:space="preserve">(à confirmer en fonction des dates de la 85e session de la CADHP). Consultez les mises à jour </w:t>
      </w:r>
      <w:hyperlink r:id="rId7">
        <w:r w:rsidDel="00000000" w:rsidR="00000000" w:rsidRPr="00000000">
          <w:rPr>
            <w:rFonts w:ascii="Open Sans" w:cs="Open Sans" w:eastAsia="Open Sans" w:hAnsi="Open Sans"/>
            <w:color w:val="1155cc"/>
            <w:u w:val="single"/>
            <w:rtl w:val="0"/>
          </w:rPr>
          <w:t xml:space="preserve">ici</w:t>
        </w:r>
      </w:hyperlink>
      <w:r w:rsidDel="00000000" w:rsidR="00000000" w:rsidRPr="00000000">
        <w:rPr>
          <w:rFonts w:ascii="Open Sans" w:cs="Open Sans" w:eastAsia="Open Sans" w:hAnsi="Open Sans"/>
          <w:rtl w:val="0"/>
        </w:rPr>
        <w:t xml:space="preserve">. </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120" w:before="0" w:lineRule="auto"/>
        <w:rPr>
          <w:rFonts w:ascii="Open Sans" w:cs="Open Sans" w:eastAsia="Open Sans" w:hAnsi="Open Sans"/>
          <w:color w:val="000000"/>
          <w:sz w:val="26"/>
          <w:szCs w:val="26"/>
        </w:rPr>
      </w:pPr>
      <w:r w:rsidDel="00000000" w:rsidR="00000000" w:rsidRPr="00000000">
        <w:rPr>
          <w:rtl w:val="0"/>
        </w:rPr>
      </w:r>
    </w:p>
    <w:tbl>
      <w:tblPr>
        <w:tblStyle w:val="Table1"/>
        <w:tblW w:w="9054.0" w:type="dxa"/>
        <w:jc w:val="left"/>
        <w:tblBorders>
          <w:top w:color="4f81bd" w:space="0" w:sz="8" w:val="single"/>
          <w:left w:color="4f81bd" w:space="0" w:sz="8" w:val="single"/>
          <w:bottom w:color="4f81bd" w:space="0" w:sz="8" w:val="single"/>
          <w:right w:color="4f81bd" w:space="0" w:sz="8" w:val="single"/>
          <w:insideH w:color="7ba0cd" w:space="0" w:sz="8" w:val="single"/>
          <w:insideV w:color="000000" w:space="0" w:sz="4" w:val="single"/>
        </w:tblBorders>
        <w:tblLayout w:type="fixed"/>
        <w:tblLook w:val="0400"/>
      </w:tblPr>
      <w:tblGrid>
        <w:gridCol w:w="9054"/>
        <w:tblGridChange w:id="0">
          <w:tblGrid>
            <w:gridCol w:w="9054"/>
          </w:tblGrid>
        </w:tblGridChange>
      </w:tblGrid>
      <w:tr>
        <w:trPr>
          <w:cantSplit w:val="0"/>
          <w:tblHeader w:val="0"/>
        </w:trPr>
        <w:tc>
          <w:tcPr>
            <w:shd w:fill="dbe5f1" w:val="clear"/>
          </w:tcPr>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120" w:before="0" w:lineRule="auto"/>
              <w:rPr>
                <w:rFonts w:ascii="Open Sans" w:cs="Open Sans" w:eastAsia="Open Sans" w:hAnsi="Open Sans"/>
                <w:color w:val="000000"/>
                <w:sz w:val="26"/>
                <w:szCs w:val="26"/>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before="240" w:lineRule="auto"/>
              <w:jc w:val="center"/>
              <w:rPr>
                <w:rFonts w:ascii="Open Sans" w:cs="Open Sans" w:eastAsia="Open Sans" w:hAnsi="Open Sans"/>
                <w:b w:val="1"/>
                <w:color w:val="c00000"/>
                <w:sz w:val="22"/>
                <w:szCs w:val="22"/>
              </w:rPr>
            </w:pPr>
            <w:r w:rsidDel="00000000" w:rsidR="00000000" w:rsidRPr="00000000">
              <w:rPr>
                <w:rFonts w:ascii="Open Sans" w:cs="Open Sans" w:eastAsia="Open Sans" w:hAnsi="Open Sans"/>
                <w:b w:val="1"/>
                <w:color w:val="c00000"/>
                <w:sz w:val="22"/>
                <w:szCs w:val="22"/>
                <w:rtl w:val="0"/>
              </w:rPr>
              <w:t xml:space="preserve">Veuillez lire les informations ci-dessous avant de remplir le formulaire de candidature en ligne, disponible </w:t>
            </w:r>
            <w:hyperlink r:id="rId8">
              <w:r w:rsidDel="00000000" w:rsidR="00000000" w:rsidRPr="00000000">
                <w:rPr>
                  <w:rFonts w:ascii="Open Sans" w:cs="Open Sans" w:eastAsia="Open Sans" w:hAnsi="Open Sans"/>
                  <w:b w:val="1"/>
                  <w:color w:val="1155cc"/>
                  <w:sz w:val="22"/>
                  <w:szCs w:val="22"/>
                  <w:u w:val="single"/>
                  <w:rtl w:val="0"/>
                </w:rPr>
                <w:t xml:space="preserve">ici</w:t>
              </w:r>
            </w:hyperlink>
            <w:r w:rsidDel="00000000" w:rsidR="00000000" w:rsidRPr="00000000">
              <w:rPr>
                <w:rFonts w:ascii="Open Sans" w:cs="Open Sans" w:eastAsia="Open Sans" w:hAnsi="Open Sans"/>
                <w:b w:val="1"/>
                <w:color w:val="c00000"/>
                <w:sz w:val="22"/>
                <w:szCs w:val="22"/>
                <w:rtl w:val="0"/>
              </w:rPr>
              <w:t xml:space="preserve">. </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120" w:before="120" w:lineRule="auto"/>
              <w:jc w:val="center"/>
              <w:rPr>
                <w:rFonts w:ascii="Open Sans" w:cs="Open Sans" w:eastAsia="Open Sans" w:hAnsi="Open Sans"/>
                <w:b w:val="1"/>
                <w:color w:val="c00000"/>
                <w:sz w:val="22"/>
                <w:szCs w:val="22"/>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120" w:before="120" w:lineRule="auto"/>
              <w:jc w:val="center"/>
              <w:rPr>
                <w:rFonts w:ascii="Open Sans" w:cs="Open Sans" w:eastAsia="Open Sans" w:hAnsi="Open Sans"/>
                <w:b w:val="1"/>
                <w:color w:val="c00000"/>
                <w:sz w:val="22"/>
                <w:szCs w:val="22"/>
              </w:rPr>
            </w:pPr>
            <w:r w:rsidDel="00000000" w:rsidR="00000000" w:rsidRPr="00000000">
              <w:rPr>
                <w:rFonts w:ascii="Open Sans" w:cs="Open Sans" w:eastAsia="Open Sans" w:hAnsi="Open Sans"/>
                <w:b w:val="1"/>
                <w:color w:val="c00000"/>
                <w:sz w:val="22"/>
                <w:szCs w:val="22"/>
                <w:rtl w:val="0"/>
              </w:rPr>
              <w:t xml:space="preserve">Les candidatures doivent être </w:t>
            </w:r>
            <w:r w:rsidDel="00000000" w:rsidR="00000000" w:rsidRPr="00000000">
              <w:rPr>
                <w:rFonts w:ascii="Open Sans" w:cs="Open Sans" w:eastAsia="Open Sans" w:hAnsi="Open Sans"/>
                <w:b w:val="1"/>
                <w:color w:val="c00000"/>
                <w:sz w:val="22"/>
                <w:szCs w:val="22"/>
                <w:u w:val="single"/>
                <w:rtl w:val="0"/>
              </w:rPr>
              <w:t xml:space="preserve">soumises avant minuit à Banjul le 25 août 2025</w:t>
            </w:r>
            <w:r w:rsidDel="00000000" w:rsidR="00000000" w:rsidRPr="00000000">
              <w:rPr>
                <w:rFonts w:ascii="Open Sans" w:cs="Open Sans" w:eastAsia="Open Sans" w:hAnsi="Open Sans"/>
                <w:b w:val="1"/>
                <w:color w:val="c00000"/>
                <w:sz w:val="22"/>
                <w:szCs w:val="22"/>
                <w:rtl w:val="0"/>
              </w:rPr>
              <w:t xml:space="preserve">, et </w:t>
            </w:r>
            <w:r w:rsidDel="00000000" w:rsidR="00000000" w:rsidRPr="00000000">
              <w:rPr>
                <w:rFonts w:ascii="Open Sans" w:cs="Open Sans" w:eastAsia="Open Sans" w:hAnsi="Open Sans"/>
                <w:b w:val="1"/>
                <w:color w:val="c00000"/>
                <w:sz w:val="22"/>
                <w:szCs w:val="22"/>
                <w:rtl w:val="0"/>
              </w:rPr>
              <w:t xml:space="preserve">SEULES</w:t>
            </w:r>
            <w:r w:rsidDel="00000000" w:rsidR="00000000" w:rsidRPr="00000000">
              <w:rPr>
                <w:rFonts w:ascii="Open Sans" w:cs="Open Sans" w:eastAsia="Open Sans" w:hAnsi="Open Sans"/>
                <w:b w:val="1"/>
                <w:color w:val="c00000"/>
                <w:sz w:val="22"/>
                <w:szCs w:val="22"/>
                <w:rtl w:val="0"/>
              </w:rPr>
              <w:t xml:space="preserve"> les candidatures complètes seront prises en considération.</w: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120" w:before="0" w:lineRule="auto"/>
              <w:rPr>
                <w:rFonts w:ascii="Open Sans" w:cs="Open Sans" w:eastAsia="Open Sans" w:hAnsi="Open Sans"/>
                <w:color w:val="000000"/>
                <w:sz w:val="26"/>
                <w:szCs w:val="26"/>
              </w:rPr>
            </w:pPr>
            <w:r w:rsidDel="00000000" w:rsidR="00000000" w:rsidRPr="00000000">
              <w:rPr>
                <w:rtl w:val="0"/>
              </w:rPr>
            </w:r>
          </w:p>
        </w:tc>
      </w:tr>
    </w:tbl>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120" w:before="120" w:lineRule="auto"/>
        <w:rPr>
          <w:rFonts w:ascii="Open Sans" w:cs="Open Sans" w:eastAsia="Open Sans" w:hAnsi="Open Sans"/>
          <w:b w:val="1"/>
          <w:color w:val="ff0000"/>
        </w:rPr>
      </w:pPr>
      <w:r w:rsidDel="00000000" w:rsidR="00000000" w:rsidRPr="00000000">
        <w:rPr>
          <w:rtl w:val="0"/>
        </w:rPr>
      </w:r>
    </w:p>
    <w:p w:rsidR="00000000" w:rsidDel="00000000" w:rsidP="00000000" w:rsidRDefault="00000000" w:rsidRPr="00000000" w14:paraId="0000000A">
      <w:pPr>
        <w:pStyle w:val="Heading1"/>
        <w:numPr>
          <w:ilvl w:val="0"/>
          <w:numId w:val="6"/>
        </w:numPr>
        <w:ind w:left="0" w:firstLine="0"/>
        <w:rPr>
          <w:rFonts w:ascii="Open Sans" w:cs="Open Sans" w:eastAsia="Open Sans" w:hAnsi="Open Sans"/>
        </w:rPr>
      </w:pPr>
      <w:bookmarkStart w:colFirst="0" w:colLast="0" w:name="_heading=h.y7qi33a5dqxa" w:id="0"/>
      <w:bookmarkEnd w:id="0"/>
      <w:r w:rsidDel="00000000" w:rsidR="00000000" w:rsidRPr="00000000">
        <w:rPr>
          <w:rFonts w:ascii="Open Sans" w:cs="Open Sans" w:eastAsia="Open Sans" w:hAnsi="Open Sans"/>
          <w:rtl w:val="0"/>
        </w:rPr>
        <w:t xml:space="preserve">Contexte</w:t>
      </w:r>
    </w:p>
    <w:p w:rsidR="00000000" w:rsidDel="00000000" w:rsidP="00000000" w:rsidRDefault="00000000" w:rsidRPr="00000000" w14:paraId="0000000B">
      <w:pPr>
        <w:rPr>
          <w:rFonts w:ascii="Open Sans" w:cs="Open Sans" w:eastAsia="Open Sans" w:hAnsi="Open Sans"/>
        </w:rPr>
      </w:pPr>
      <w:r w:rsidDel="00000000" w:rsidR="00000000" w:rsidRPr="00000000">
        <w:rPr>
          <w:rFonts w:ascii="Open Sans" w:cs="Open Sans" w:eastAsia="Open Sans" w:hAnsi="Open Sans"/>
          <w:rtl w:val="0"/>
        </w:rPr>
        <w:t xml:space="preserve">Les défenseurs des droits humains jouent un rôle essentiel dans la promotion durable des droits humains. Une société civile libre et dynamique est indispensable pour garantir que les États, les entreprises et les autres acteurs non étatiques respectent, protègent et réalisent tous les droits humains pour tous et pour les tenir responsables lorsqu'ils ne le font pas. </w:t>
      </w:r>
    </w:p>
    <w:p w:rsidR="00000000" w:rsidDel="00000000" w:rsidP="00000000" w:rsidRDefault="00000000" w:rsidRPr="00000000" w14:paraId="0000000C">
      <w:pPr>
        <w:rPr>
          <w:rFonts w:ascii="Open Sans" w:cs="Open Sans" w:eastAsia="Open Sans" w:hAnsi="Open Sans"/>
        </w:rPr>
      </w:pPr>
      <w:r w:rsidDel="00000000" w:rsidR="00000000" w:rsidRPr="00000000">
        <w:rPr>
          <w:rFonts w:ascii="Open Sans" w:cs="Open Sans" w:eastAsia="Open Sans" w:hAnsi="Open Sans"/>
          <w:rtl w:val="0"/>
        </w:rPr>
        <w:t xml:space="preserve">Le </w:t>
      </w:r>
      <w:hyperlink r:id="rId9">
        <w:r w:rsidDel="00000000" w:rsidR="00000000" w:rsidRPr="00000000">
          <w:rPr>
            <w:rFonts w:ascii="Open Sans" w:cs="Open Sans" w:eastAsia="Open Sans" w:hAnsi="Open Sans"/>
            <w:color w:val="1155cc"/>
            <w:u w:val="single"/>
            <w:rtl w:val="0"/>
          </w:rPr>
          <w:t xml:space="preserve">Service international pour les droits de l'homme</w:t>
        </w:r>
      </w:hyperlink>
      <w:r w:rsidDel="00000000" w:rsidR="00000000" w:rsidRPr="00000000">
        <w:rPr>
          <w:rFonts w:ascii="Open Sans" w:cs="Open Sans" w:eastAsia="Open Sans" w:hAnsi="Open Sans"/>
          <w:rtl w:val="0"/>
        </w:rPr>
        <w:t xml:space="preserve"> (ISHR) organise régulièrement des formations sur l'utilisation des principaux mécanismes de défense des droits humains, notamment la Commission africaine des droits de l'homme et des peuples (</w:t>
      </w:r>
      <w:hyperlink r:id="rId10">
        <w:r w:rsidDel="00000000" w:rsidR="00000000" w:rsidRPr="00000000">
          <w:rPr>
            <w:rFonts w:ascii="Open Sans" w:cs="Open Sans" w:eastAsia="Open Sans" w:hAnsi="Open Sans"/>
            <w:color w:val="1155cc"/>
            <w:u w:val="single"/>
            <w:rtl w:val="0"/>
          </w:rPr>
          <w:t xml:space="preserve">CADHP</w:t>
        </w:r>
      </w:hyperlink>
      <w:r w:rsidDel="00000000" w:rsidR="00000000" w:rsidRPr="00000000">
        <w:rPr>
          <w:rFonts w:ascii="Open Sans" w:cs="Open Sans" w:eastAsia="Open Sans" w:hAnsi="Open Sans"/>
          <w:rtl w:val="0"/>
        </w:rPr>
        <w:t xml:space="preserve">). Cette formation permettra aux défenseurs des droits humains africains d'acquérir les connaissances et les compétences nécessaires pour intégrer de manière stratégique la CADHP dans leur travail au niveau national. Le programme offre également aux participants la possibilité de s'engager dans des activités de lobbying et de plaidoyer auprès de la CADHP dans le but d'apporter des changements dans leur pays d'origine. </w:t>
      </w:r>
    </w:p>
    <w:p w:rsidR="00000000" w:rsidDel="00000000" w:rsidP="00000000" w:rsidRDefault="00000000" w:rsidRPr="00000000" w14:paraId="0000000D">
      <w:pPr>
        <w:pStyle w:val="Heading1"/>
        <w:numPr>
          <w:ilvl w:val="0"/>
          <w:numId w:val="6"/>
        </w:numPr>
        <w:ind w:left="0" w:firstLine="0"/>
        <w:rPr>
          <w:rFonts w:ascii="Open Sans" w:cs="Open Sans" w:eastAsia="Open Sans" w:hAnsi="Open Sans"/>
        </w:rPr>
      </w:pPr>
      <w:bookmarkStart w:colFirst="0" w:colLast="0" w:name="_heading=h.hxloiqmsd168" w:id="1"/>
      <w:bookmarkEnd w:id="1"/>
      <w:r w:rsidDel="00000000" w:rsidR="00000000" w:rsidRPr="00000000">
        <w:rPr>
          <w:rFonts w:ascii="Open Sans" w:cs="Open Sans" w:eastAsia="Open Sans" w:hAnsi="Open Sans"/>
          <w:rtl w:val="0"/>
        </w:rPr>
        <w:t xml:space="preserve">La formation </w:t>
      </w:r>
      <w:r w:rsidDel="00000000" w:rsidR="00000000" w:rsidRPr="00000000">
        <w:rPr>
          <w:rFonts w:ascii="Open Sans" w:cs="Open Sans" w:eastAsia="Open Sans" w:hAnsi="Open Sans"/>
          <w:b w:val="0"/>
          <w:rtl w:val="0"/>
        </w:rPr>
        <w:t xml:space="preserve">(en présentiel, mi-octobre 2025)</w:t>
      </w:r>
      <w:r w:rsidDel="00000000" w:rsidR="00000000" w:rsidRPr="00000000">
        <w:rPr>
          <w:rtl w:val="0"/>
        </w:rPr>
      </w:r>
    </w:p>
    <w:p w:rsidR="00000000" w:rsidDel="00000000" w:rsidP="00000000" w:rsidRDefault="00000000" w:rsidRPr="00000000" w14:paraId="0000000E">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0F">
      <w:pPr>
        <w:rPr>
          <w:rFonts w:ascii="Open Sans" w:cs="Open Sans" w:eastAsia="Open Sans" w:hAnsi="Open Sans"/>
          <w:b w:val="1"/>
        </w:rPr>
      </w:pPr>
      <w:r w:rsidDel="00000000" w:rsidR="00000000" w:rsidRPr="00000000">
        <w:rPr>
          <w:rFonts w:ascii="Open Sans" w:cs="Open Sans" w:eastAsia="Open Sans" w:hAnsi="Open Sans"/>
          <w:b w:val="1"/>
          <w:rtl w:val="0"/>
        </w:rPr>
        <w:t xml:space="preserve">La formation permettra aux défenseurs de bénéficier d'informations précieuses et d'un soutien en matière de plaidoyer, ce qui leur permettra de développer leurs connaissances et leurs compétences afin d'utiliser de manière stratégique la Commission africaine des droits de l'homme et des peuples dans leurs stratégies nationales de plaidoyer.</w:t>
      </w:r>
    </w:p>
    <w:p w:rsidR="00000000" w:rsidDel="00000000" w:rsidP="00000000" w:rsidRDefault="00000000" w:rsidRPr="00000000" w14:paraId="00000010">
      <w:pPr>
        <w:rPr>
          <w:rFonts w:ascii="Open Sans" w:cs="Open Sans" w:eastAsia="Open Sans" w:hAnsi="Open Sans"/>
          <w:b w:val="1"/>
        </w:rPr>
      </w:pPr>
      <w:r w:rsidDel="00000000" w:rsidR="00000000" w:rsidRPr="00000000">
        <w:rPr>
          <w:rFonts w:ascii="Open Sans" w:cs="Open Sans" w:eastAsia="Open Sans" w:hAnsi="Open Sans"/>
          <w:rtl w:val="0"/>
        </w:rPr>
        <w:t xml:space="preserve">Le lieu prévu est Banjul, en Gambie (mais peut parfois être ailleurs) et la formation aura lieu entre le </w:t>
      </w:r>
      <w:hyperlink r:id="rId11">
        <w:r w:rsidDel="00000000" w:rsidR="00000000" w:rsidRPr="00000000">
          <w:rPr>
            <w:rFonts w:ascii="Open Sans" w:cs="Open Sans" w:eastAsia="Open Sans" w:hAnsi="Open Sans"/>
            <w:color w:val="b60130"/>
            <w:u w:val="single"/>
            <w:rtl w:val="0"/>
          </w:rPr>
          <w:t xml:space="preserve">Forum des ONG</w:t>
        </w:r>
      </w:hyperlink>
      <w:r w:rsidDel="00000000" w:rsidR="00000000" w:rsidRPr="00000000">
        <w:rPr>
          <w:rFonts w:ascii="Open Sans" w:cs="Open Sans" w:eastAsia="Open Sans" w:hAnsi="Open Sans"/>
          <w:rtl w:val="0"/>
        </w:rPr>
        <w:t xml:space="preserve"> et la 85e session</w:t>
      </w:r>
      <w:r w:rsidDel="00000000" w:rsidR="00000000" w:rsidRPr="00000000">
        <w:rPr>
          <w:rFonts w:ascii="Open Sans" w:cs="Open Sans" w:eastAsia="Open Sans" w:hAnsi="Open Sans"/>
          <w:rtl w:val="0"/>
        </w:rPr>
        <w:t xml:space="preserve"> de la CADHP. </w:t>
      </w:r>
      <w:r w:rsidDel="00000000" w:rsidR="00000000" w:rsidRPr="00000000">
        <w:rPr>
          <w:rtl w:val="0"/>
        </w:rPr>
      </w:r>
    </w:p>
    <w:p w:rsidR="00000000" w:rsidDel="00000000" w:rsidP="00000000" w:rsidRDefault="00000000" w:rsidRPr="00000000" w14:paraId="00000011">
      <w:pPr>
        <w:rPr>
          <w:rFonts w:ascii="Open Sans" w:cs="Open Sans" w:eastAsia="Open Sans" w:hAnsi="Open Sans"/>
        </w:rPr>
      </w:pPr>
      <w:r w:rsidDel="00000000" w:rsidR="00000000" w:rsidRPr="00000000">
        <w:rPr>
          <w:rFonts w:ascii="Open Sans" w:cs="Open Sans" w:eastAsia="Open Sans" w:hAnsi="Open Sans"/>
          <w:rtl w:val="0"/>
        </w:rPr>
        <w:t xml:space="preserve">Ce programme de formation comprend les éléments suivants : </w:t>
      </w:r>
    </w:p>
    <w:p w:rsidR="00000000" w:rsidDel="00000000" w:rsidP="00000000" w:rsidRDefault="00000000" w:rsidRPr="00000000" w14:paraId="00000012">
      <w:pPr>
        <w:numPr>
          <w:ilvl w:val="0"/>
          <w:numId w:val="2"/>
        </w:numPr>
        <w:pBdr>
          <w:top w:space="0" w:sz="0" w:val="nil"/>
          <w:left w:space="0" w:sz="0" w:val="nil"/>
          <w:bottom w:space="0" w:sz="0" w:val="nil"/>
          <w:right w:space="0" w:sz="0" w:val="nil"/>
          <w:between w:space="0" w:sz="0" w:val="nil"/>
        </w:pBdr>
        <w:spacing w:after="0" w:before="0" w:lineRule="auto"/>
        <w:ind w:left="720" w:hanging="360"/>
        <w:rPr>
          <w:rFonts w:ascii="Open Sans" w:cs="Open Sans" w:eastAsia="Open Sans" w:hAnsi="Open Sans"/>
          <w:color w:val="000000"/>
        </w:rPr>
      </w:pPr>
      <w:r w:rsidDel="00000000" w:rsidR="00000000" w:rsidRPr="00000000">
        <w:rPr>
          <w:rFonts w:ascii="Open Sans" w:cs="Open Sans" w:eastAsia="Open Sans" w:hAnsi="Open Sans"/>
          <w:rtl w:val="0"/>
        </w:rPr>
        <w:t xml:space="preserve">Accès à la plateforme d'apprentissage en ligne </w:t>
      </w:r>
      <w:hyperlink r:id="rId12">
        <w:r w:rsidDel="00000000" w:rsidR="00000000" w:rsidRPr="00000000">
          <w:rPr>
            <w:rFonts w:ascii="Open Sans" w:cs="Open Sans" w:eastAsia="Open Sans" w:hAnsi="Open Sans"/>
            <w:color w:val="1155cc"/>
            <w:u w:val="single"/>
            <w:rtl w:val="0"/>
          </w:rPr>
          <w:t xml:space="preserve">de l'ISHR Academy</w:t>
        </w:r>
      </w:hyperlink>
      <w:r w:rsidDel="00000000" w:rsidR="00000000" w:rsidRPr="00000000">
        <w:rPr>
          <w:rFonts w:ascii="Open Sans" w:cs="Open Sans" w:eastAsia="Open Sans" w:hAnsi="Open Sans"/>
          <w:rtl w:val="0"/>
        </w:rPr>
        <w:t xml:space="preserve">, qui comprend du matériel interactif et des trousses à outils, avant et après la formation.</w:t>
      </w:r>
      <w:r w:rsidDel="00000000" w:rsidR="00000000" w:rsidRPr="00000000">
        <w:rPr>
          <w:rtl w:val="0"/>
        </w:rPr>
      </w:r>
    </w:p>
    <w:p w:rsidR="00000000" w:rsidDel="00000000" w:rsidP="00000000" w:rsidRDefault="00000000" w:rsidRPr="00000000" w14:paraId="00000013">
      <w:pPr>
        <w:numPr>
          <w:ilvl w:val="0"/>
          <w:numId w:val="2"/>
        </w:numPr>
        <w:pBdr>
          <w:top w:space="0" w:sz="0" w:val="nil"/>
          <w:left w:space="0" w:sz="0" w:val="nil"/>
          <w:bottom w:space="0" w:sz="0" w:val="nil"/>
          <w:right w:space="0" w:sz="0" w:val="nil"/>
          <w:between w:space="0" w:sz="0" w:val="nil"/>
        </w:pBdr>
        <w:spacing w:after="0" w:before="0" w:lineRule="auto"/>
        <w:ind w:left="720" w:hanging="360"/>
        <w:rPr>
          <w:rFonts w:ascii="Open Sans" w:cs="Open Sans" w:eastAsia="Open Sans" w:hAnsi="Open Sans"/>
          <w:u w:val="none"/>
        </w:rPr>
      </w:pPr>
      <w:r w:rsidDel="00000000" w:rsidR="00000000" w:rsidRPr="00000000">
        <w:rPr>
          <w:rFonts w:ascii="Open Sans" w:cs="Open Sans" w:eastAsia="Open Sans" w:hAnsi="Open Sans"/>
          <w:rtl w:val="0"/>
        </w:rPr>
        <w:t xml:space="preserve">2 sessions en direct de 2 heures avant la formation en présentiel, et un cours à suivre à son propre rythme (2 heures)</w:t>
      </w:r>
      <w:r w:rsidDel="00000000" w:rsidR="00000000" w:rsidRPr="00000000">
        <w:rPr>
          <w:rtl w:val="0"/>
        </w:rPr>
      </w:r>
    </w:p>
    <w:p w:rsidR="00000000" w:rsidDel="00000000" w:rsidP="00000000" w:rsidRDefault="00000000" w:rsidRPr="00000000" w14:paraId="00000014">
      <w:pPr>
        <w:numPr>
          <w:ilvl w:val="0"/>
          <w:numId w:val="2"/>
        </w:numPr>
        <w:pBdr>
          <w:top w:space="0" w:sz="0" w:val="nil"/>
          <w:left w:space="0" w:sz="0" w:val="nil"/>
          <w:bottom w:space="0" w:sz="0" w:val="nil"/>
          <w:right w:space="0" w:sz="0" w:val="nil"/>
          <w:between w:space="0" w:sz="0" w:val="nil"/>
        </w:pBdr>
        <w:spacing w:after="0" w:before="0" w:lineRule="auto"/>
        <w:ind w:left="720" w:hanging="360"/>
        <w:rPr>
          <w:rFonts w:ascii="Open Sans" w:cs="Open Sans" w:eastAsia="Open Sans" w:hAnsi="Open Sans"/>
          <w:color w:val="000000"/>
        </w:rPr>
      </w:pPr>
      <w:r w:rsidDel="00000000" w:rsidR="00000000" w:rsidRPr="00000000">
        <w:rPr>
          <w:rFonts w:ascii="Open Sans" w:cs="Open Sans" w:eastAsia="Open Sans" w:hAnsi="Open Sans"/>
          <w:rtl w:val="0"/>
        </w:rPr>
        <w:t xml:space="preserve">2 jours de sessions en présentiel</w:t>
      </w:r>
      <w:r w:rsidDel="00000000" w:rsidR="00000000" w:rsidRPr="00000000">
        <w:rPr>
          <w:rFonts w:ascii="Open Sans" w:cs="Open Sans" w:eastAsia="Open Sans" w:hAnsi="Open Sans"/>
          <w:color w:val="000000"/>
          <w:rtl w:val="0"/>
        </w:rPr>
        <w:t xml:space="preserve">, qui comprendront :</w:t>
      </w:r>
    </w:p>
    <w:p w:rsidR="00000000" w:rsidDel="00000000" w:rsidP="00000000" w:rsidRDefault="00000000" w:rsidRPr="00000000" w14:paraId="00000015">
      <w:pPr>
        <w:numPr>
          <w:ilvl w:val="1"/>
          <w:numId w:val="2"/>
        </w:numPr>
        <w:pBdr>
          <w:top w:space="0" w:sz="0" w:val="nil"/>
          <w:left w:space="0" w:sz="0" w:val="nil"/>
          <w:bottom w:space="0" w:sz="0" w:val="nil"/>
          <w:right w:space="0" w:sz="0" w:val="nil"/>
          <w:between w:space="0" w:sz="0" w:val="nil"/>
        </w:pBdr>
        <w:spacing w:after="0" w:before="0" w:lineRule="auto"/>
        <w:ind w:left="1440" w:hanging="360"/>
        <w:rPr>
          <w:rFonts w:ascii="Open Sans" w:cs="Open Sans" w:eastAsia="Open Sans" w:hAnsi="Open Sans"/>
          <w:color w:val="000000"/>
        </w:rPr>
      </w:pPr>
      <w:r w:rsidDel="00000000" w:rsidR="00000000" w:rsidRPr="00000000">
        <w:rPr>
          <w:rFonts w:ascii="Open Sans" w:cs="Open Sans" w:eastAsia="Open Sans" w:hAnsi="Open Sans"/>
          <w:rtl w:val="0"/>
        </w:rPr>
        <w:t xml:space="preserve">Acquisition de connaissances et de compétences sur les instruments et processus régionaux pertinents : examen périodique des États, communications, visites de pays...</w:t>
      </w:r>
      <w:r w:rsidDel="00000000" w:rsidR="00000000" w:rsidRPr="00000000">
        <w:rPr>
          <w:rtl w:val="0"/>
        </w:rPr>
      </w:r>
    </w:p>
    <w:p w:rsidR="00000000" w:rsidDel="00000000" w:rsidP="00000000" w:rsidRDefault="00000000" w:rsidRPr="00000000" w14:paraId="00000016">
      <w:pPr>
        <w:numPr>
          <w:ilvl w:val="1"/>
          <w:numId w:val="2"/>
        </w:numPr>
        <w:pBdr>
          <w:top w:space="0" w:sz="0" w:val="nil"/>
          <w:left w:space="0" w:sz="0" w:val="nil"/>
          <w:bottom w:space="0" w:sz="0" w:val="nil"/>
          <w:right w:space="0" w:sz="0" w:val="nil"/>
          <w:between w:space="0" w:sz="0" w:val="nil"/>
        </w:pBdr>
        <w:spacing w:after="0" w:before="0" w:lineRule="auto"/>
        <w:ind w:left="1440" w:hanging="360"/>
        <w:rPr>
          <w:rFonts w:ascii="Lato" w:cs="Lato" w:eastAsia="Lato" w:hAnsi="Lato"/>
          <w:color w:val="000000"/>
        </w:rPr>
      </w:pPr>
      <w:r w:rsidDel="00000000" w:rsidR="00000000" w:rsidRPr="00000000">
        <w:rPr>
          <w:rFonts w:ascii="Open Sans" w:cs="Open Sans" w:eastAsia="Open Sans" w:hAnsi="Open Sans"/>
          <w:rtl w:val="0"/>
        </w:rPr>
        <w:t xml:space="preserve">En savoir plus sur le travail de la CADHP et </w:t>
      </w:r>
      <w:r w:rsidDel="00000000" w:rsidR="00000000" w:rsidRPr="00000000">
        <w:rPr>
          <w:rFonts w:ascii="Open Sans" w:cs="Open Sans" w:eastAsia="Open Sans" w:hAnsi="Open Sans"/>
          <w:b w:val="1"/>
          <w:rtl w:val="0"/>
        </w:rPr>
        <w:t xml:space="preserve">sur la manière de s'engager stratégiquement </w:t>
      </w:r>
      <w:r w:rsidDel="00000000" w:rsidR="00000000" w:rsidRPr="00000000">
        <w:rPr>
          <w:rFonts w:ascii="Open Sans" w:cs="Open Sans" w:eastAsia="Open Sans" w:hAnsi="Open Sans"/>
          <w:rtl w:val="0"/>
        </w:rPr>
        <w:t xml:space="preserve">avec ses mécanismes</w:t>
      </w:r>
      <w:r w:rsidDel="00000000" w:rsidR="00000000" w:rsidRPr="00000000">
        <w:rPr>
          <w:rtl w:val="0"/>
        </w:rPr>
      </w:r>
    </w:p>
    <w:p w:rsidR="00000000" w:rsidDel="00000000" w:rsidP="00000000" w:rsidRDefault="00000000" w:rsidRPr="00000000" w14:paraId="00000017">
      <w:pPr>
        <w:numPr>
          <w:ilvl w:val="1"/>
          <w:numId w:val="2"/>
        </w:numPr>
        <w:pBdr>
          <w:top w:space="0" w:sz="0" w:val="nil"/>
          <w:left w:space="0" w:sz="0" w:val="nil"/>
          <w:bottom w:space="0" w:sz="0" w:val="nil"/>
          <w:right w:space="0" w:sz="0" w:val="nil"/>
          <w:between w:space="0" w:sz="0" w:val="nil"/>
        </w:pBdr>
        <w:spacing w:after="0" w:before="0" w:lineRule="auto"/>
        <w:ind w:left="1440" w:hanging="360"/>
        <w:rPr>
          <w:rFonts w:ascii="Lato" w:cs="Lato" w:eastAsia="Lato" w:hAnsi="Lato"/>
          <w:color w:val="000000"/>
        </w:rPr>
      </w:pPr>
      <w:r w:rsidDel="00000000" w:rsidR="00000000" w:rsidRPr="00000000">
        <w:rPr>
          <w:rFonts w:ascii="Open Sans" w:cs="Open Sans" w:eastAsia="Open Sans" w:hAnsi="Open Sans"/>
          <w:rtl w:val="0"/>
        </w:rPr>
        <w:t xml:space="preserve">Études de cas pour s'exercer à </w:t>
      </w:r>
      <w:r w:rsidDel="00000000" w:rsidR="00000000" w:rsidRPr="00000000">
        <w:rPr>
          <w:rFonts w:ascii="Open Sans" w:cs="Open Sans" w:eastAsia="Open Sans" w:hAnsi="Open Sans"/>
          <w:b w:val="1"/>
          <w:rtl w:val="0"/>
        </w:rPr>
        <w:t xml:space="preserve">des situations réelles et à la soumission de communications</w:t>
      </w:r>
      <w:r w:rsidDel="00000000" w:rsidR="00000000" w:rsidRPr="00000000">
        <w:rPr>
          <w:rtl w:val="0"/>
        </w:rPr>
      </w:r>
    </w:p>
    <w:p w:rsidR="00000000" w:rsidDel="00000000" w:rsidP="00000000" w:rsidRDefault="00000000" w:rsidRPr="00000000" w14:paraId="00000018">
      <w:pPr>
        <w:numPr>
          <w:ilvl w:val="1"/>
          <w:numId w:val="2"/>
        </w:numPr>
        <w:pBdr>
          <w:top w:space="0" w:sz="0" w:val="nil"/>
          <w:left w:space="0" w:sz="0" w:val="nil"/>
          <w:bottom w:space="0" w:sz="0" w:val="nil"/>
          <w:right w:space="0" w:sz="0" w:val="nil"/>
          <w:between w:space="0" w:sz="0" w:val="nil"/>
        </w:pBdr>
        <w:spacing w:after="0" w:before="0" w:lineRule="auto"/>
        <w:ind w:left="1440" w:hanging="360"/>
        <w:rPr>
          <w:rFonts w:ascii="Lato" w:cs="Lato" w:eastAsia="Lato" w:hAnsi="Lato"/>
          <w:color w:val="000000"/>
        </w:rPr>
      </w:pPr>
      <w:r w:rsidDel="00000000" w:rsidR="00000000" w:rsidRPr="00000000">
        <w:rPr>
          <w:rFonts w:ascii="Open Sans" w:cs="Open Sans" w:eastAsia="Open Sans" w:hAnsi="Open Sans"/>
          <w:b w:val="1"/>
          <w:rtl w:val="0"/>
        </w:rPr>
        <w:t xml:space="preserve">Partage </w:t>
      </w:r>
      <w:r w:rsidDel="00000000" w:rsidR="00000000" w:rsidRPr="00000000">
        <w:rPr>
          <w:rFonts w:ascii="Open Sans" w:cs="Open Sans" w:eastAsia="Open Sans" w:hAnsi="Open Sans"/>
          <w:rtl w:val="0"/>
        </w:rPr>
        <w:t xml:space="preserve">d'expériences de bonnes pratiques</w:t>
      </w: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before="0" w:lineRule="auto"/>
        <w:ind w:left="144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0" w:before="0" w:lineRule="auto"/>
        <w:jc w:val="center"/>
        <w:rPr>
          <w:rFonts w:ascii="Open Sans" w:cs="Open Sans" w:eastAsia="Open Sans" w:hAnsi="Open Sans"/>
          <w:color w:val="000000"/>
        </w:rPr>
      </w:pPr>
      <w:r w:rsidDel="00000000" w:rsidR="00000000" w:rsidRPr="00000000">
        <w:rPr>
          <w:rFonts w:ascii="Open Sans" w:cs="Open Sans" w:eastAsia="Open Sans" w:hAnsi="Open Sans"/>
        </w:rPr>
        <w:drawing>
          <wp:inline distB="114300" distT="114300" distL="114300" distR="114300">
            <wp:extent cx="2763675" cy="2079689"/>
            <wp:effectExtent b="0" l="0" r="0" t="0"/>
            <wp:docPr id="58"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2763675" cy="2079689"/>
                    </a:xfrm>
                    <a:prstGeom prst="rect"/>
                    <a:ln/>
                  </pic:spPr>
                </pic:pic>
              </a:graphicData>
            </a:graphic>
          </wp:inline>
        </w:drawing>
      </w:r>
      <w:r w:rsidDel="00000000" w:rsidR="00000000" w:rsidRPr="00000000">
        <w:rPr>
          <w:rFonts w:ascii="Open Sans" w:cs="Open Sans" w:eastAsia="Open Sans" w:hAnsi="Open Sans"/>
        </w:rPr>
        <w:drawing>
          <wp:inline distB="114300" distT="114300" distL="114300" distR="114300">
            <wp:extent cx="2725852" cy="2046923"/>
            <wp:effectExtent b="0" l="0" r="0" t="0"/>
            <wp:docPr id="59"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2725852" cy="2046923"/>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0" w:before="0" w:lineRule="auto"/>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1C">
      <w:pPr>
        <w:numPr>
          <w:ilvl w:val="0"/>
          <w:numId w:val="2"/>
        </w:numPr>
        <w:pBdr>
          <w:top w:space="0" w:sz="0" w:val="nil"/>
          <w:left w:space="0" w:sz="0" w:val="nil"/>
          <w:bottom w:space="0" w:sz="0" w:val="nil"/>
          <w:right w:space="0" w:sz="0" w:val="nil"/>
          <w:between w:space="0" w:sz="0" w:val="nil"/>
        </w:pBdr>
        <w:spacing w:before="0" w:lineRule="auto"/>
        <w:ind w:left="720" w:hanging="360"/>
        <w:rPr>
          <w:rFonts w:ascii="Lato" w:cs="Lato" w:eastAsia="Lato" w:hAnsi="Lato"/>
          <w:color w:val="000000"/>
        </w:rPr>
      </w:pPr>
      <w:r w:rsidDel="00000000" w:rsidR="00000000" w:rsidRPr="00000000">
        <w:rPr>
          <w:rFonts w:ascii="Open Sans" w:cs="Open Sans" w:eastAsia="Open Sans" w:hAnsi="Open Sans"/>
          <w:rtl w:val="0"/>
        </w:rPr>
        <w:t xml:space="preserve">Une occasion de </w:t>
      </w:r>
      <w:r w:rsidDel="00000000" w:rsidR="00000000" w:rsidRPr="00000000">
        <w:rPr>
          <w:rFonts w:ascii="Open Sans" w:cs="Open Sans" w:eastAsia="Open Sans" w:hAnsi="Open Sans"/>
          <w:b w:val="1"/>
          <w:rtl w:val="0"/>
        </w:rPr>
        <w:t xml:space="preserve">rencontrer, de discuter et d'en apprendre davantage </w:t>
      </w:r>
      <w:r w:rsidDel="00000000" w:rsidR="00000000" w:rsidRPr="00000000">
        <w:rPr>
          <w:rFonts w:ascii="Open Sans" w:cs="Open Sans" w:eastAsia="Open Sans" w:hAnsi="Open Sans"/>
          <w:rtl w:val="0"/>
        </w:rPr>
        <w:t xml:space="preserve">sur les défis et les stratégies des défenseurs à travers l'Afrique.</w:t>
      </w:r>
      <w:r w:rsidDel="00000000" w:rsidR="00000000" w:rsidRPr="00000000">
        <w:rPr>
          <w:rtl w:val="0"/>
        </w:rPr>
      </w:r>
    </w:p>
    <w:p w:rsidR="00000000" w:rsidDel="00000000" w:rsidP="00000000" w:rsidRDefault="00000000" w:rsidRPr="00000000" w14:paraId="0000001D">
      <w:pPr>
        <w:pStyle w:val="Heading1"/>
        <w:numPr>
          <w:ilvl w:val="0"/>
          <w:numId w:val="6"/>
        </w:numPr>
        <w:ind w:left="0" w:firstLine="0"/>
        <w:rPr>
          <w:rFonts w:ascii="Open Sans" w:cs="Open Sans" w:eastAsia="Open Sans" w:hAnsi="Open Sans"/>
        </w:rPr>
      </w:pPr>
      <w:bookmarkStart w:colFirst="0" w:colLast="0" w:name="_heading=h.5vh0z2vg2hza" w:id="2"/>
      <w:bookmarkEnd w:id="2"/>
      <w:r w:rsidDel="00000000" w:rsidR="00000000" w:rsidRPr="00000000">
        <w:rPr>
          <w:rFonts w:ascii="Open Sans" w:cs="Open Sans" w:eastAsia="Open Sans" w:hAnsi="Open Sans"/>
          <w:rtl w:val="0"/>
        </w:rPr>
        <w:t xml:space="preserve">Possibilités de plaidoyer*</w:t>
      </w:r>
    </w:p>
    <w:p w:rsidR="00000000" w:rsidDel="00000000" w:rsidP="00000000" w:rsidRDefault="00000000" w:rsidRPr="00000000" w14:paraId="0000001E">
      <w:pPr>
        <w:rPr>
          <w:rFonts w:ascii="Open Sans" w:cs="Open Sans" w:eastAsia="Open Sans" w:hAnsi="Open Sans"/>
        </w:rPr>
      </w:pPr>
      <w:r w:rsidDel="00000000" w:rsidR="00000000" w:rsidRPr="00000000">
        <w:rPr>
          <w:rFonts w:ascii="Open Sans" w:cs="Open Sans" w:eastAsia="Open Sans" w:hAnsi="Open Sans"/>
          <w:rtl w:val="0"/>
        </w:rPr>
        <w:t xml:space="preserve">ISHR fournira un soutien et un accompagnement en matière de plaidoyer afin d'aider les défenseurs à saisir (en personne) les principales opportunités de plaidoyer lors de la 85e session ordinaire de la CADHP (octobre 2025). Ces opportunités peuvent inclure :</w:t>
      </w:r>
    </w:p>
    <w:p w:rsidR="00000000" w:rsidDel="00000000" w:rsidP="00000000" w:rsidRDefault="00000000" w:rsidRPr="00000000" w14:paraId="0000001F">
      <w:pPr>
        <w:numPr>
          <w:ilvl w:val="0"/>
          <w:numId w:val="4"/>
        </w:numPr>
        <w:spacing w:after="0" w:lineRule="auto"/>
        <w:ind w:left="720" w:hanging="360"/>
        <w:rPr>
          <w:rFonts w:ascii="Lato" w:cs="Lato" w:eastAsia="Lato" w:hAnsi="Lato"/>
        </w:rPr>
      </w:pPr>
      <w:r w:rsidDel="00000000" w:rsidR="00000000" w:rsidRPr="00000000">
        <w:rPr>
          <w:rFonts w:ascii="Open Sans" w:cs="Open Sans" w:eastAsia="Open Sans" w:hAnsi="Open Sans"/>
          <w:rtl w:val="0"/>
        </w:rPr>
        <w:t xml:space="preserve">Rapports des </w:t>
      </w:r>
      <w:r w:rsidDel="00000000" w:rsidR="00000000" w:rsidRPr="00000000">
        <w:rPr>
          <w:rFonts w:ascii="Open Sans" w:cs="Open Sans" w:eastAsia="Open Sans" w:hAnsi="Open Sans"/>
          <w:b w:val="1"/>
          <w:rtl w:val="0"/>
        </w:rPr>
        <w:t xml:space="preserve">commissaires clés/mandats des procédures spéciales </w:t>
      </w:r>
      <w:r w:rsidDel="00000000" w:rsidR="00000000" w:rsidRPr="00000000">
        <w:rPr>
          <w:rFonts w:ascii="Open Sans" w:cs="Open Sans" w:eastAsia="Open Sans" w:hAnsi="Open Sans"/>
          <w:rtl w:val="0"/>
        </w:rPr>
        <w:t xml:space="preserve">dans le domaine des défenseurs des droits humains, des droits des femmes, sur la question des droits humains et des sociétés transnationales et autres entreprises commerciales </w:t>
      </w:r>
      <w:r w:rsidDel="00000000" w:rsidR="00000000" w:rsidRPr="00000000">
        <w:rPr>
          <w:rtl w:val="0"/>
        </w:rPr>
      </w:r>
    </w:p>
    <w:p w:rsidR="00000000" w:rsidDel="00000000" w:rsidP="00000000" w:rsidRDefault="00000000" w:rsidRPr="00000000" w14:paraId="00000020">
      <w:pPr>
        <w:numPr>
          <w:ilvl w:val="0"/>
          <w:numId w:val="4"/>
        </w:numPr>
        <w:spacing w:after="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des tables rondes sur les questions touchant à la protection des </w:t>
      </w:r>
      <w:r w:rsidDel="00000000" w:rsidR="00000000" w:rsidRPr="00000000">
        <w:rPr>
          <w:rFonts w:ascii="Open Sans" w:cs="Open Sans" w:eastAsia="Open Sans" w:hAnsi="Open Sans"/>
          <w:b w:val="1"/>
          <w:rtl w:val="0"/>
        </w:rPr>
        <w:t xml:space="preserve">droits humains en Afrique </w:t>
      </w:r>
      <w:r w:rsidDel="00000000" w:rsidR="00000000" w:rsidRPr="00000000">
        <w:rPr>
          <w:rtl w:val="0"/>
        </w:rPr>
      </w:r>
    </w:p>
    <w:p w:rsidR="00000000" w:rsidDel="00000000" w:rsidP="00000000" w:rsidRDefault="00000000" w:rsidRPr="00000000" w14:paraId="00000021">
      <w:pPr>
        <w:numPr>
          <w:ilvl w:val="0"/>
          <w:numId w:val="4"/>
        </w:numPr>
        <w:spacing w:before="0"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Examens périodiques des États</w:t>
      </w:r>
    </w:p>
    <w:p w:rsidR="00000000" w:rsidDel="00000000" w:rsidP="00000000" w:rsidRDefault="00000000" w:rsidRPr="00000000" w14:paraId="00000022">
      <w:pPr>
        <w:spacing w:before="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*Dans le cadre de la formation, l'ISHR explore les possibilités de permettre aux participants d'assister au Forum des ONG et/ou à une partie de la 85e session de la CADHP.</w:t>
      </w:r>
    </w:p>
    <w:p w:rsidR="00000000" w:rsidDel="00000000" w:rsidP="00000000" w:rsidRDefault="00000000" w:rsidRPr="00000000" w14:paraId="00000023">
      <w:pPr>
        <w:pStyle w:val="Heading1"/>
        <w:numPr>
          <w:ilvl w:val="0"/>
          <w:numId w:val="6"/>
        </w:numPr>
        <w:ind w:left="0" w:firstLine="0"/>
        <w:rPr>
          <w:rFonts w:ascii="Open Sans" w:cs="Open Sans" w:eastAsia="Open Sans" w:hAnsi="Open Sans"/>
        </w:rPr>
      </w:pPr>
      <w:bookmarkStart w:colFirst="0" w:colLast="0" w:name="_heading=h.3dy6vkm" w:id="3"/>
      <w:bookmarkEnd w:id="3"/>
      <w:r w:rsidDel="00000000" w:rsidR="00000000" w:rsidRPr="00000000">
        <w:rPr>
          <w:rFonts w:ascii="Open Sans" w:cs="Open Sans" w:eastAsia="Open Sans" w:hAnsi="Open Sans"/>
          <w:rtl w:val="0"/>
        </w:rPr>
        <w:t xml:space="preserve"> Objectifs</w:t>
      </w:r>
    </w:p>
    <w:p w:rsidR="00000000" w:rsidDel="00000000" w:rsidP="00000000" w:rsidRDefault="00000000" w:rsidRPr="00000000" w14:paraId="00000024">
      <w:pPr>
        <w:rPr>
          <w:rFonts w:ascii="Open Sans" w:cs="Open Sans" w:eastAsia="Open Sans" w:hAnsi="Open Sans"/>
        </w:rPr>
      </w:pPr>
      <w:r w:rsidDel="00000000" w:rsidR="00000000" w:rsidRPr="00000000">
        <w:rPr>
          <w:rFonts w:ascii="Open Sans" w:cs="Open Sans" w:eastAsia="Open Sans" w:hAnsi="Open Sans"/>
          <w:rtl w:val="0"/>
        </w:rPr>
        <w:t xml:space="preserve">Les objectifs du cours se répartissent en trois grandes catégories :</w:t>
      </w:r>
    </w:p>
    <w:p w:rsidR="00000000" w:rsidDel="00000000" w:rsidP="00000000" w:rsidRDefault="00000000" w:rsidRPr="00000000" w14:paraId="00000025">
      <w:pPr>
        <w:numPr>
          <w:ilvl w:val="0"/>
          <w:numId w:val="5"/>
        </w:numPr>
        <w:pBdr>
          <w:top w:space="0" w:sz="0" w:val="nil"/>
          <w:left w:space="0" w:sz="0" w:val="nil"/>
          <w:bottom w:space="0" w:sz="0" w:val="nil"/>
          <w:right w:space="0" w:sz="0" w:val="nil"/>
          <w:between w:space="0" w:sz="0" w:val="nil"/>
        </w:pBdr>
        <w:spacing w:after="0" w:lineRule="auto"/>
        <w:ind w:left="777" w:hanging="360"/>
        <w:rPr>
          <w:rFonts w:ascii="Lato" w:cs="Lato" w:eastAsia="Lato" w:hAnsi="Lato"/>
          <w:color w:val="000000"/>
        </w:rPr>
      </w:pPr>
      <w:r w:rsidDel="00000000" w:rsidR="00000000" w:rsidRPr="00000000">
        <w:rPr>
          <w:rFonts w:ascii="Open Sans" w:cs="Open Sans" w:eastAsia="Open Sans" w:hAnsi="Open Sans"/>
          <w:b w:val="1"/>
          <w:color w:val="000000"/>
          <w:rtl w:val="0"/>
        </w:rPr>
        <w:t xml:space="preserve">Soutenir les défenseurs des droits </w:t>
      </w:r>
      <w:r w:rsidDel="00000000" w:rsidR="00000000" w:rsidRPr="00000000">
        <w:rPr>
          <w:rFonts w:ascii="Open Sans" w:cs="Open Sans" w:eastAsia="Open Sans" w:hAnsi="Open Sans"/>
          <w:b w:val="1"/>
          <w:rtl w:val="0"/>
        </w:rPr>
        <w:t xml:space="preserve">humains</w:t>
      </w:r>
      <w:r w:rsidDel="00000000" w:rsidR="00000000" w:rsidRPr="00000000">
        <w:rPr>
          <w:rFonts w:ascii="Open Sans" w:cs="Open Sans" w:eastAsia="Open Sans" w:hAnsi="Open Sans"/>
          <w:color w:val="000000"/>
          <w:rtl w:val="0"/>
        </w:rPr>
        <w:t xml:space="preserve">:</w:t>
      </w:r>
      <w:r w:rsidDel="00000000" w:rsidR="00000000" w:rsidRPr="00000000">
        <w:rPr>
          <w:rtl w:val="0"/>
        </w:rPr>
      </w:r>
    </w:p>
    <w:p w:rsidR="00000000" w:rsidDel="00000000" w:rsidP="00000000" w:rsidRDefault="00000000" w:rsidRPr="00000000" w14:paraId="00000026">
      <w:pPr>
        <w:numPr>
          <w:ilvl w:val="1"/>
          <w:numId w:val="1"/>
        </w:numPr>
        <w:pBdr>
          <w:top w:space="0" w:sz="0" w:val="nil"/>
          <w:left w:space="0" w:sz="0" w:val="nil"/>
          <w:bottom w:space="0" w:sz="0" w:val="nil"/>
          <w:right w:space="0" w:sz="0" w:val="nil"/>
          <w:between w:space="0" w:sz="0" w:val="nil"/>
        </w:pBdr>
        <w:spacing w:after="0" w:before="0" w:lineRule="auto"/>
        <w:ind w:left="1497" w:hanging="36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Renforcer la capacité des défenseurs des droits de l'homme à s'engager de manière stratégique auprès de la </w:t>
      </w:r>
      <w:r w:rsidDel="00000000" w:rsidR="00000000" w:rsidRPr="00000000">
        <w:rPr>
          <w:rFonts w:ascii="Open Sans" w:cs="Open Sans" w:eastAsia="Open Sans" w:hAnsi="Open Sans"/>
          <w:rtl w:val="0"/>
        </w:rPr>
        <w:t xml:space="preserve">CADHP</w:t>
      </w:r>
      <w:r w:rsidDel="00000000" w:rsidR="00000000" w:rsidRPr="00000000">
        <w:rPr>
          <w:rFonts w:ascii="Open Sans" w:cs="Open Sans" w:eastAsia="Open Sans" w:hAnsi="Open Sans"/>
          <w:color w:val="000000"/>
          <w:rtl w:val="0"/>
        </w:rPr>
        <w:t xml:space="preserve">, ainsi qu'à développer des réseaux diplomatiques et de la société civile ;</w:t>
      </w:r>
    </w:p>
    <w:p w:rsidR="00000000" w:rsidDel="00000000" w:rsidP="00000000" w:rsidRDefault="00000000" w:rsidRPr="00000000" w14:paraId="00000027">
      <w:pPr>
        <w:numPr>
          <w:ilvl w:val="1"/>
          <w:numId w:val="1"/>
        </w:numPr>
        <w:pBdr>
          <w:top w:space="0" w:sz="0" w:val="nil"/>
          <w:left w:space="0" w:sz="0" w:val="nil"/>
          <w:bottom w:space="0" w:sz="0" w:val="nil"/>
          <w:right w:space="0" w:sz="0" w:val="nil"/>
          <w:between w:space="0" w:sz="0" w:val="nil"/>
        </w:pBdr>
        <w:spacing w:after="0" w:before="0" w:lineRule="auto"/>
        <w:ind w:left="1497" w:hanging="36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Améliorer la qualité de la participation des ONG à la </w:t>
      </w:r>
      <w:r w:rsidDel="00000000" w:rsidR="00000000" w:rsidRPr="00000000">
        <w:rPr>
          <w:rFonts w:ascii="Open Sans" w:cs="Open Sans" w:eastAsia="Open Sans" w:hAnsi="Open Sans"/>
          <w:rtl w:val="0"/>
        </w:rPr>
        <w:t xml:space="preserve">CADHP</w:t>
      </w:r>
      <w:r w:rsidDel="00000000" w:rsidR="00000000" w:rsidRPr="00000000">
        <w:rPr>
          <w:rFonts w:ascii="Open Sans" w:cs="Open Sans" w:eastAsia="Open Sans" w:hAnsi="Open Sans"/>
          <w:color w:val="000000"/>
          <w:rtl w:val="0"/>
        </w:rPr>
        <w:t xml:space="preserve">, en vue d'exercer une plus grande influence sur la politique étrangère en matière de droits humains ;</w:t>
      </w:r>
    </w:p>
    <w:p w:rsidR="00000000" w:rsidDel="00000000" w:rsidP="00000000" w:rsidRDefault="00000000" w:rsidRPr="00000000" w14:paraId="00000028">
      <w:pPr>
        <w:numPr>
          <w:ilvl w:val="1"/>
          <w:numId w:val="1"/>
        </w:numPr>
        <w:pBdr>
          <w:top w:space="0" w:sz="0" w:val="nil"/>
          <w:left w:space="0" w:sz="0" w:val="nil"/>
          <w:bottom w:space="0" w:sz="0" w:val="nil"/>
          <w:right w:space="0" w:sz="0" w:val="nil"/>
          <w:between w:space="0" w:sz="0" w:val="nil"/>
        </w:pBdr>
        <w:spacing w:after="0" w:before="0" w:lineRule="auto"/>
        <w:ind w:left="1497" w:hanging="36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Partager les outils et les connaissances que les défenseurs des droits de l'homme peuvent utiliser pour s'assurer que leur voix est au cœur du processus décisionnel </w:t>
      </w:r>
      <w:r w:rsidDel="00000000" w:rsidR="00000000" w:rsidRPr="00000000">
        <w:rPr>
          <w:rFonts w:ascii="Open Sans" w:cs="Open Sans" w:eastAsia="Open Sans" w:hAnsi="Open Sans"/>
          <w:rtl w:val="0"/>
        </w:rPr>
        <w:t xml:space="preserve">régional</w:t>
      </w:r>
      <w:r w:rsidDel="00000000" w:rsidR="00000000" w:rsidRPr="00000000">
        <w:rPr>
          <w:rFonts w:ascii="Open Sans" w:cs="Open Sans" w:eastAsia="Open Sans" w:hAnsi="Open Sans"/>
          <w:color w:val="000000"/>
          <w:rtl w:val="0"/>
        </w:rPr>
        <w:t xml:space="preserve"> en matière de droits de l'homme </w:t>
      </w:r>
      <w:r w:rsidDel="00000000" w:rsidR="00000000" w:rsidRPr="00000000">
        <w:rPr>
          <w:rFonts w:ascii="Open Sans" w:cs="Open Sans" w:eastAsia="Open Sans" w:hAnsi="Open Sans"/>
          <w:rtl w:val="0"/>
        </w:rPr>
        <w:t xml:space="preserve">;</w:t>
      </w:r>
      <w:r w:rsidDel="00000000" w:rsidR="00000000" w:rsidRPr="00000000">
        <w:rPr>
          <w:rtl w:val="0"/>
        </w:rPr>
      </w:r>
    </w:p>
    <w:p w:rsidR="00000000" w:rsidDel="00000000" w:rsidP="00000000" w:rsidRDefault="00000000" w:rsidRPr="00000000" w14:paraId="00000029">
      <w:pPr>
        <w:numPr>
          <w:ilvl w:val="1"/>
          <w:numId w:val="1"/>
        </w:numPr>
        <w:pBdr>
          <w:top w:space="0" w:sz="0" w:val="nil"/>
          <w:left w:space="0" w:sz="0" w:val="nil"/>
          <w:bottom w:space="0" w:sz="0" w:val="nil"/>
          <w:right w:space="0" w:sz="0" w:val="nil"/>
          <w:between w:space="0" w:sz="0" w:val="nil"/>
        </w:pBdr>
        <w:spacing w:after="0" w:before="0" w:lineRule="auto"/>
        <w:ind w:left="1497" w:hanging="36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Explorer et comparer les avantages de la participation à </w:t>
      </w:r>
      <w:r w:rsidDel="00000000" w:rsidR="00000000" w:rsidRPr="00000000">
        <w:rPr>
          <w:rFonts w:ascii="Open Sans" w:cs="Open Sans" w:eastAsia="Open Sans" w:hAnsi="Open Sans"/>
          <w:rtl w:val="0"/>
        </w:rPr>
        <w:t xml:space="preserve">ces mécanismes</w:t>
      </w:r>
      <w:r w:rsidDel="00000000" w:rsidR="00000000" w:rsidRPr="00000000">
        <w:rPr>
          <w:rFonts w:ascii="Open Sans" w:cs="Open Sans" w:eastAsia="Open Sans" w:hAnsi="Open Sans"/>
          <w:color w:val="000000"/>
          <w:rtl w:val="0"/>
        </w:rPr>
        <w:t xml:space="preserve">, et examiner comment les défenseurs peuvent les utiliser pour renforcer leur travail au niveau national ;</w:t>
      </w:r>
    </w:p>
    <w:p w:rsidR="00000000" w:rsidDel="00000000" w:rsidP="00000000" w:rsidRDefault="00000000" w:rsidRPr="00000000" w14:paraId="0000002A">
      <w:pPr>
        <w:numPr>
          <w:ilvl w:val="1"/>
          <w:numId w:val="1"/>
        </w:numPr>
        <w:pBdr>
          <w:top w:space="0" w:sz="0" w:val="nil"/>
          <w:left w:space="0" w:sz="0" w:val="nil"/>
          <w:bottom w:space="0" w:sz="0" w:val="nil"/>
          <w:right w:space="0" w:sz="0" w:val="nil"/>
          <w:between w:space="0" w:sz="0" w:val="nil"/>
        </w:pBdr>
        <w:spacing w:after="0" w:before="0" w:lineRule="auto"/>
        <w:ind w:left="1497" w:hanging="36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Élaborer des stratégies et des techniques de lobbying afin d'accroître le potentiel du travail de plaidoyer des défenseurs des droits humains aux niveaux national et régional.</w:t>
      </w:r>
    </w:p>
    <w:p w:rsidR="00000000" w:rsidDel="00000000" w:rsidP="00000000" w:rsidRDefault="00000000" w:rsidRPr="00000000" w14:paraId="0000002B">
      <w:pPr>
        <w:numPr>
          <w:ilvl w:val="0"/>
          <w:numId w:val="5"/>
        </w:numPr>
        <w:pBdr>
          <w:top w:space="0" w:sz="0" w:val="nil"/>
          <w:left w:space="0" w:sz="0" w:val="nil"/>
          <w:bottom w:space="0" w:sz="0" w:val="nil"/>
          <w:right w:space="0" w:sz="0" w:val="nil"/>
          <w:between w:space="0" w:sz="0" w:val="nil"/>
        </w:pBdr>
        <w:spacing w:after="0" w:before="0" w:lineRule="auto"/>
        <w:ind w:left="777" w:hanging="360"/>
        <w:rPr>
          <w:rFonts w:ascii="Lato" w:cs="Lato" w:eastAsia="Lato" w:hAnsi="Lato"/>
          <w:color w:val="000000"/>
        </w:rPr>
      </w:pPr>
      <w:r w:rsidDel="00000000" w:rsidR="00000000" w:rsidRPr="00000000">
        <w:rPr>
          <w:rFonts w:ascii="Open Sans" w:cs="Open Sans" w:eastAsia="Open Sans" w:hAnsi="Open Sans"/>
          <w:b w:val="1"/>
          <w:color w:val="000000"/>
          <w:rtl w:val="0"/>
        </w:rPr>
        <w:t xml:space="preserve">Influencer </w:t>
      </w:r>
      <w:r w:rsidDel="00000000" w:rsidR="00000000" w:rsidRPr="00000000">
        <w:rPr>
          <w:rFonts w:ascii="Open Sans" w:cs="Open Sans" w:eastAsia="Open Sans" w:hAnsi="Open Sans"/>
          <w:color w:val="000000"/>
          <w:rtl w:val="0"/>
        </w:rPr>
        <w:t xml:space="preserve">de manière positive </w:t>
      </w:r>
      <w:r w:rsidDel="00000000" w:rsidR="00000000" w:rsidRPr="00000000">
        <w:rPr>
          <w:rFonts w:ascii="Open Sans" w:cs="Open Sans" w:eastAsia="Open Sans" w:hAnsi="Open Sans"/>
          <w:b w:val="1"/>
          <w:color w:val="000000"/>
          <w:rtl w:val="0"/>
        </w:rPr>
        <w:t xml:space="preserve">les résultats concrets des mécanismes </w:t>
      </w:r>
      <w:r w:rsidDel="00000000" w:rsidR="00000000" w:rsidRPr="00000000">
        <w:rPr>
          <w:rFonts w:ascii="Open Sans" w:cs="Open Sans" w:eastAsia="Open Sans" w:hAnsi="Open Sans"/>
          <w:b w:val="1"/>
          <w:rtl w:val="0"/>
        </w:rPr>
        <w:t xml:space="preserve">régionaux </w:t>
      </w:r>
      <w:r w:rsidDel="00000000" w:rsidR="00000000" w:rsidRPr="00000000">
        <w:rPr>
          <w:rFonts w:ascii="Open Sans" w:cs="Open Sans" w:eastAsia="Open Sans" w:hAnsi="Open Sans"/>
          <w:b w:val="1"/>
          <w:color w:val="000000"/>
          <w:rtl w:val="0"/>
        </w:rPr>
        <w:t xml:space="preserve">de défense des droits de l'homme</w:t>
      </w:r>
      <w:r w:rsidDel="00000000" w:rsidR="00000000" w:rsidRPr="00000000">
        <w:rPr>
          <w:rFonts w:ascii="Open Sans" w:cs="Open Sans" w:eastAsia="Open Sans" w:hAnsi="Open Sans"/>
          <w:color w:val="000000"/>
          <w:rtl w:val="0"/>
        </w:rPr>
        <w:t xml:space="preserve">, notamment les résolutions</w:t>
      </w:r>
      <w:r w:rsidDel="00000000" w:rsidR="00000000" w:rsidRPr="00000000">
        <w:rPr>
          <w:rFonts w:ascii="Open Sans" w:cs="Open Sans" w:eastAsia="Open Sans" w:hAnsi="Open Sans"/>
          <w:rtl w:val="0"/>
        </w:rPr>
        <w:t xml:space="preserve"> de la CADHP </w:t>
      </w:r>
      <w:r w:rsidDel="00000000" w:rsidR="00000000" w:rsidRPr="00000000">
        <w:rPr>
          <w:rFonts w:ascii="Open Sans" w:cs="Open Sans" w:eastAsia="Open Sans" w:hAnsi="Open Sans"/>
          <w:color w:val="000000"/>
          <w:rtl w:val="0"/>
        </w:rPr>
        <w:t xml:space="preserve">et le travail des experts thématiques et nationaux de la CADHP en matière de droits de l'homme (</w:t>
      </w:r>
      <w:r w:rsidDel="00000000" w:rsidR="00000000" w:rsidRPr="00000000">
        <w:rPr>
          <w:rFonts w:ascii="Open Sans" w:cs="Open Sans" w:eastAsia="Open Sans" w:hAnsi="Open Sans"/>
          <w:rtl w:val="0"/>
        </w:rPr>
        <w:t xml:space="preserve">tels que les rapporteurs spéciaux</w:t>
      </w:r>
      <w:r w:rsidDel="00000000" w:rsidR="00000000" w:rsidRPr="00000000">
        <w:rPr>
          <w:rFonts w:ascii="Open Sans" w:cs="Open Sans" w:eastAsia="Open Sans" w:hAnsi="Open Sans"/>
          <w:color w:val="000000"/>
          <w:rtl w:val="0"/>
        </w:rPr>
        <w:t xml:space="preserve">). </w:t>
      </w:r>
      <w:r w:rsidDel="00000000" w:rsidR="00000000" w:rsidRPr="00000000">
        <w:rPr>
          <w:rtl w:val="0"/>
        </w:rPr>
      </w:r>
    </w:p>
    <w:p w:rsidR="00000000" w:rsidDel="00000000" w:rsidP="00000000" w:rsidRDefault="00000000" w:rsidRPr="00000000" w14:paraId="0000002C">
      <w:pPr>
        <w:numPr>
          <w:ilvl w:val="0"/>
          <w:numId w:val="5"/>
        </w:numPr>
        <w:pBdr>
          <w:top w:space="0" w:sz="0" w:val="nil"/>
          <w:left w:space="0" w:sz="0" w:val="nil"/>
          <w:bottom w:space="0" w:sz="0" w:val="nil"/>
          <w:right w:space="0" w:sz="0" w:val="nil"/>
          <w:between w:space="0" w:sz="0" w:val="nil"/>
        </w:pBdr>
        <w:spacing w:before="0" w:lineRule="auto"/>
        <w:ind w:left="777" w:hanging="360"/>
        <w:rPr>
          <w:rFonts w:ascii="Lato" w:cs="Lato" w:eastAsia="Lato" w:hAnsi="Lato"/>
          <w:color w:val="000000"/>
        </w:rPr>
      </w:pPr>
      <w:r w:rsidDel="00000000" w:rsidR="00000000" w:rsidRPr="00000000">
        <w:rPr>
          <w:rFonts w:ascii="Open Sans" w:cs="Open Sans" w:eastAsia="Open Sans" w:hAnsi="Open Sans"/>
          <w:b w:val="1"/>
          <w:color w:val="000000"/>
          <w:rtl w:val="0"/>
        </w:rPr>
        <w:t xml:space="preserve">Créer un groupe de pairs composé de défenseurs des droits de l'homme </w:t>
      </w:r>
      <w:r w:rsidDel="00000000" w:rsidR="00000000" w:rsidRPr="00000000">
        <w:rPr>
          <w:rFonts w:ascii="Open Sans" w:cs="Open Sans" w:eastAsia="Open Sans" w:hAnsi="Open Sans"/>
          <w:color w:val="000000"/>
          <w:rtl w:val="0"/>
        </w:rPr>
        <w:t xml:space="preserve">travaillant sur un large éventail de questions, identifier les meilleures pratiques en matière de plaidoyer pour le changement dans le domaine des droits de l'homme et échanger des enseignements et des expériences dans la conduite d'actions de plaidoyer régionales/internationales. </w:t>
      </w:r>
      <w:r w:rsidDel="00000000" w:rsidR="00000000" w:rsidRPr="00000000">
        <w:rPr>
          <w:rtl w:val="0"/>
        </w:rPr>
      </w:r>
    </w:p>
    <w:p w:rsidR="00000000" w:rsidDel="00000000" w:rsidP="00000000" w:rsidRDefault="00000000" w:rsidRPr="00000000" w14:paraId="0000002D">
      <w:pPr>
        <w:pStyle w:val="Heading1"/>
        <w:numPr>
          <w:ilvl w:val="0"/>
          <w:numId w:val="6"/>
        </w:numPr>
        <w:ind w:left="0" w:firstLine="0"/>
        <w:rPr>
          <w:rFonts w:ascii="Open Sans" w:cs="Open Sans" w:eastAsia="Open Sans" w:hAnsi="Open Sans"/>
        </w:rPr>
      </w:pPr>
      <w:bookmarkStart w:colFirst="0" w:colLast="0" w:name="_heading=h.g1c0ewc7vs9y" w:id="4"/>
      <w:bookmarkEnd w:id="4"/>
      <w:r w:rsidDel="00000000" w:rsidR="00000000" w:rsidRPr="00000000">
        <w:rPr>
          <w:rFonts w:ascii="Open Sans" w:cs="Open Sans" w:eastAsia="Open Sans" w:hAnsi="Open Sans"/>
          <w:rtl w:val="0"/>
        </w:rPr>
        <w:t xml:space="preserve">Profil des </w:t>
      </w:r>
      <w:r w:rsidDel="00000000" w:rsidR="00000000" w:rsidRPr="00000000">
        <w:rPr>
          <w:rFonts w:ascii="Open Sans" w:cs="Open Sans" w:eastAsia="Open Sans" w:hAnsi="Open Sans"/>
          <w:rtl w:val="0"/>
        </w:rPr>
        <w:t xml:space="preserve">participant.e.s</w:t>
      </w:r>
      <w:r w:rsidDel="00000000" w:rsidR="00000000" w:rsidRPr="00000000">
        <w:rPr>
          <w:rtl w:val="0"/>
        </w:rPr>
      </w:r>
    </w:p>
    <w:p w:rsidR="00000000" w:rsidDel="00000000" w:rsidP="00000000" w:rsidRDefault="00000000" w:rsidRPr="00000000" w14:paraId="0000002E">
      <w:pPr>
        <w:rPr>
          <w:rFonts w:ascii="Open Sans" w:cs="Open Sans" w:eastAsia="Open Sans" w:hAnsi="Open Sans"/>
        </w:rPr>
      </w:pPr>
      <w:r w:rsidDel="00000000" w:rsidR="00000000" w:rsidRPr="00000000">
        <w:rPr>
          <w:rFonts w:ascii="Open Sans" w:cs="Open Sans" w:eastAsia="Open Sans" w:hAnsi="Open Sans"/>
          <w:rtl w:val="0"/>
        </w:rPr>
        <w:t xml:space="preserve">Ce programme s'adresse aux défenseurs des droits humains expérimentés travaillant dans des organisations non gouvernementales, qui ont une expérience minimale de cinq ans dans le domaine du plaidoyer au niveau national et une connaissance préalable du système régional des droits humains. L'ISHR soutient et encourage la solidarité avec et entre les défenseurs travaillant sur toutes les questions ou dans tous les contextes liés aux droits humains en Afrique, que nous reconnaissons comme </w:t>
      </w:r>
      <w:r w:rsidDel="00000000" w:rsidR="00000000" w:rsidRPr="00000000">
        <w:rPr>
          <w:rFonts w:ascii="Open Sans" w:cs="Open Sans" w:eastAsia="Open Sans" w:hAnsi="Open Sans"/>
          <w:b w:val="1"/>
          <w:rtl w:val="0"/>
        </w:rPr>
        <w:t xml:space="preserve">intersectionnels et interdépendants</w:t>
      </w:r>
      <w:r w:rsidDel="00000000" w:rsidR="00000000" w:rsidRPr="00000000">
        <w:rPr>
          <w:rFonts w:ascii="Open Sans" w:cs="Open Sans" w:eastAsia="Open Sans" w:hAnsi="Open Sans"/>
          <w:rtl w:val="0"/>
        </w:rPr>
        <w:t xml:space="preserve">, tels que l'égalité et la non-discrimination, la justice environnementale, la responsabilité ou la transparence et l'État de droit. </w:t>
      </w:r>
    </w:p>
    <w:p w:rsidR="00000000" w:rsidDel="00000000" w:rsidP="00000000" w:rsidRDefault="00000000" w:rsidRPr="00000000" w14:paraId="0000002F">
      <w:pPr>
        <w:rPr>
          <w:rFonts w:ascii="Open Sans" w:cs="Open Sans" w:eastAsia="Open Sans" w:hAnsi="Open Sans"/>
        </w:rPr>
      </w:pPr>
      <w:r w:rsidDel="00000000" w:rsidR="00000000" w:rsidRPr="00000000">
        <w:rPr>
          <w:rFonts w:ascii="Open Sans" w:cs="Open Sans" w:eastAsia="Open Sans" w:hAnsi="Open Sans"/>
          <w:rtl w:val="0"/>
        </w:rPr>
        <w:t xml:space="preserve">La décision finale concernant les participants sera prise sur la base des critères suivants :</w:t>
      </w:r>
    </w:p>
    <w:p w:rsidR="00000000" w:rsidDel="00000000" w:rsidP="00000000" w:rsidRDefault="00000000" w:rsidRPr="00000000" w14:paraId="00000030">
      <w:pPr>
        <w:numPr>
          <w:ilvl w:val="0"/>
          <w:numId w:val="3"/>
        </w:numPr>
        <w:spacing w:after="0" w:lineRule="auto"/>
        <w:ind w:left="720" w:hanging="360"/>
        <w:rPr>
          <w:rFonts w:ascii="Open Sans" w:cs="Open Sans" w:eastAsia="Open Sans" w:hAnsi="Open Sans"/>
          <w:color w:val="000000"/>
        </w:rPr>
      </w:pPr>
      <w:r w:rsidDel="00000000" w:rsidR="00000000" w:rsidRPr="00000000">
        <w:rPr>
          <w:rFonts w:ascii="Open Sans" w:cs="Open Sans" w:eastAsia="Open Sans" w:hAnsi="Open Sans"/>
          <w:rtl w:val="0"/>
        </w:rPr>
        <w:t xml:space="preserve">Adéquation entre le domaine de travail/l'expertise des candidats et/ou les opportunités offertes par la 85e session ordinaire de la CADHP ; </w:t>
      </w:r>
      <w:r w:rsidDel="00000000" w:rsidR="00000000" w:rsidRPr="00000000">
        <w:rPr>
          <w:rtl w:val="0"/>
        </w:rPr>
      </w:r>
    </w:p>
    <w:p w:rsidR="00000000" w:rsidDel="00000000" w:rsidP="00000000" w:rsidRDefault="00000000" w:rsidRPr="00000000" w14:paraId="00000031">
      <w:pPr>
        <w:numPr>
          <w:ilvl w:val="0"/>
          <w:numId w:val="3"/>
        </w:numPr>
        <w:spacing w:after="0" w:before="0" w:lineRule="auto"/>
        <w:ind w:left="720" w:hanging="360"/>
        <w:rPr>
          <w:rFonts w:ascii="Open Sans" w:cs="Open Sans" w:eastAsia="Open Sans" w:hAnsi="Open Sans"/>
          <w:color w:val="000000"/>
        </w:rPr>
      </w:pPr>
      <w:r w:rsidDel="00000000" w:rsidR="00000000" w:rsidRPr="00000000">
        <w:rPr>
          <w:rFonts w:ascii="Open Sans" w:cs="Open Sans" w:eastAsia="Open Sans" w:hAnsi="Open Sans"/>
          <w:rtl w:val="0"/>
        </w:rPr>
        <w:t xml:space="preserve">Connaissance des droits humains des candidats, ainsi que leur expérience et leur volonté de s'engager auprès de la CADHP et de l'intégrer efficacement dans leur travail de plaidoyer au niveau national de manière durable ;</w:t>
      </w:r>
      <w:r w:rsidDel="00000000" w:rsidR="00000000" w:rsidRPr="00000000">
        <w:rPr>
          <w:rtl w:val="0"/>
        </w:rPr>
      </w:r>
    </w:p>
    <w:p w:rsidR="00000000" w:rsidDel="00000000" w:rsidP="00000000" w:rsidRDefault="00000000" w:rsidRPr="00000000" w14:paraId="00000032">
      <w:pPr>
        <w:numPr>
          <w:ilvl w:val="0"/>
          <w:numId w:val="3"/>
        </w:numPr>
        <w:spacing w:after="0" w:before="0" w:lineRule="auto"/>
        <w:ind w:left="720" w:hanging="360"/>
        <w:rPr>
          <w:rFonts w:ascii="Open Sans" w:cs="Open Sans" w:eastAsia="Open Sans" w:hAnsi="Open Sans"/>
          <w:color w:val="000000"/>
        </w:rPr>
      </w:pPr>
      <w:r w:rsidDel="00000000" w:rsidR="00000000" w:rsidRPr="00000000">
        <w:rPr>
          <w:rFonts w:ascii="Open Sans" w:cs="Open Sans" w:eastAsia="Open Sans" w:hAnsi="Open Sans"/>
          <w:rtl w:val="0"/>
        </w:rPr>
        <w:t xml:space="preserve">L'expérience des candidats en matière de plaidoyer au niveau national et/ou régional ;</w:t>
      </w:r>
      <w:r w:rsidDel="00000000" w:rsidR="00000000" w:rsidRPr="00000000">
        <w:rPr>
          <w:rtl w:val="0"/>
        </w:rPr>
      </w:r>
    </w:p>
    <w:p w:rsidR="00000000" w:rsidDel="00000000" w:rsidP="00000000" w:rsidRDefault="00000000" w:rsidRPr="00000000" w14:paraId="00000033">
      <w:pPr>
        <w:numPr>
          <w:ilvl w:val="0"/>
          <w:numId w:val="3"/>
        </w:numPr>
        <w:spacing w:after="0" w:before="0" w:lineRule="auto"/>
        <w:ind w:left="720" w:hanging="360"/>
        <w:rPr>
          <w:rFonts w:ascii="Open Sans" w:cs="Open Sans" w:eastAsia="Open Sans" w:hAnsi="Open Sans"/>
          <w:color w:val="000000"/>
        </w:rPr>
      </w:pPr>
      <w:r w:rsidDel="00000000" w:rsidR="00000000" w:rsidRPr="00000000">
        <w:rPr>
          <w:rFonts w:ascii="Open Sans" w:cs="Open Sans" w:eastAsia="Open Sans" w:hAnsi="Open Sans"/>
          <w:rtl w:val="0"/>
        </w:rPr>
        <w:t xml:space="preserve">Les responsabilités et le rôle des candidats en matière de plaidoyer au sein de leur organisation ; </w:t>
      </w:r>
      <w:r w:rsidDel="00000000" w:rsidR="00000000" w:rsidRPr="00000000">
        <w:rPr>
          <w:rtl w:val="0"/>
        </w:rPr>
      </w:r>
    </w:p>
    <w:p w:rsidR="00000000" w:rsidDel="00000000" w:rsidP="00000000" w:rsidRDefault="00000000" w:rsidRPr="00000000" w14:paraId="00000034">
      <w:pPr>
        <w:numPr>
          <w:ilvl w:val="0"/>
          <w:numId w:val="3"/>
        </w:numPr>
        <w:spacing w:after="0" w:before="0" w:lineRule="auto"/>
        <w:ind w:left="720" w:hanging="360"/>
        <w:rPr>
          <w:rFonts w:ascii="Open Sans" w:cs="Open Sans" w:eastAsia="Open Sans" w:hAnsi="Open Sans"/>
          <w:color w:val="000000"/>
        </w:rPr>
      </w:pPr>
      <w:r w:rsidDel="00000000" w:rsidR="00000000" w:rsidRPr="00000000">
        <w:rPr>
          <w:rFonts w:ascii="Open Sans" w:cs="Open Sans" w:eastAsia="Open Sans" w:hAnsi="Open Sans"/>
          <w:rtl w:val="0"/>
        </w:rPr>
        <w:t xml:space="preserve">Volonté des candidats de contribuer à l'éducation par les pairs au sein d'un groupe diversifié de participants ;</w:t>
      </w:r>
      <w:r w:rsidDel="00000000" w:rsidR="00000000" w:rsidRPr="00000000">
        <w:rPr>
          <w:rtl w:val="0"/>
        </w:rPr>
      </w:r>
    </w:p>
    <w:p w:rsidR="00000000" w:rsidDel="00000000" w:rsidP="00000000" w:rsidRDefault="00000000" w:rsidRPr="00000000" w14:paraId="00000035">
      <w:pPr>
        <w:numPr>
          <w:ilvl w:val="0"/>
          <w:numId w:val="3"/>
        </w:numPr>
        <w:spacing w:after="0" w:before="0" w:lineRule="auto"/>
        <w:ind w:left="720" w:hanging="360"/>
        <w:rPr>
          <w:rFonts w:ascii="Open Sans" w:cs="Open Sans" w:eastAsia="Open Sans" w:hAnsi="Open Sans"/>
          <w:color w:val="000000"/>
        </w:rPr>
      </w:pPr>
      <w:r w:rsidDel="00000000" w:rsidR="00000000" w:rsidRPr="00000000">
        <w:rPr>
          <w:rFonts w:ascii="Open Sans" w:cs="Open Sans" w:eastAsia="Open Sans" w:hAnsi="Open Sans"/>
          <w:rtl w:val="0"/>
        </w:rPr>
        <w:t xml:space="preserve">Candidats ayant moins d'opportunités d'accéder à la CADHP.</w:t>
      </w:r>
      <w:r w:rsidDel="00000000" w:rsidR="00000000" w:rsidRPr="00000000">
        <w:rPr>
          <w:rtl w:val="0"/>
        </w:rPr>
      </w:r>
    </w:p>
    <w:p w:rsidR="00000000" w:rsidDel="00000000" w:rsidP="00000000" w:rsidRDefault="00000000" w:rsidRPr="00000000" w14:paraId="00000036">
      <w:pPr>
        <w:rPr>
          <w:rFonts w:ascii="Open Sans" w:cs="Open Sans" w:eastAsia="Open Sans" w:hAnsi="Open Sans"/>
        </w:rPr>
      </w:pPr>
      <w:r w:rsidDel="00000000" w:rsidR="00000000" w:rsidRPr="00000000">
        <w:rPr>
          <w:rFonts w:ascii="Open Sans" w:cs="Open Sans" w:eastAsia="Open Sans" w:hAnsi="Open Sans"/>
          <w:b w:val="1"/>
          <w:rtl w:val="0"/>
        </w:rPr>
        <w:t xml:space="preserve">Le cours sera dispensé en français et en anglais avec interprétation simultanée. </w:t>
      </w:r>
      <w:r w:rsidDel="00000000" w:rsidR="00000000" w:rsidRPr="00000000">
        <w:rPr>
          <w:rtl w:val="0"/>
        </w:rPr>
      </w:r>
    </w:p>
    <w:p w:rsidR="00000000" w:rsidDel="00000000" w:rsidP="00000000" w:rsidRDefault="00000000" w:rsidRPr="00000000" w14:paraId="00000037">
      <w:pPr>
        <w:rPr>
          <w:rFonts w:ascii="Open Sans" w:cs="Open Sans" w:eastAsia="Open Sans" w:hAnsi="Open Sans"/>
        </w:rPr>
      </w:pPr>
      <w:r w:rsidDel="00000000" w:rsidR="00000000" w:rsidRPr="00000000">
        <w:rPr>
          <w:rFonts w:ascii="Open Sans" w:cs="Open Sans" w:eastAsia="Open Sans" w:hAnsi="Open Sans"/>
          <w:rtl w:val="0"/>
        </w:rPr>
        <w:t xml:space="preserve">L'ISHR s'engage également à garantir la diversité et un équilibre équitable entre l'identité ou l'expression de genre, ou les caractéristiques sexuelles, les sous-régions géographiques et les domaines d'intervention des défenseurs des droits humains.</w:t>
      </w:r>
    </w:p>
    <w:p w:rsidR="00000000" w:rsidDel="00000000" w:rsidP="00000000" w:rsidRDefault="00000000" w:rsidRPr="00000000" w14:paraId="00000038">
      <w:pPr>
        <w:pStyle w:val="Heading1"/>
        <w:numPr>
          <w:ilvl w:val="0"/>
          <w:numId w:val="6"/>
        </w:numPr>
        <w:ind w:left="0" w:firstLine="0"/>
        <w:rPr>
          <w:rFonts w:ascii="Open Sans" w:cs="Open Sans" w:eastAsia="Open Sans" w:hAnsi="Open Sans"/>
        </w:rPr>
      </w:pPr>
      <w:bookmarkStart w:colFirst="0" w:colLast="0" w:name="_heading=h.l951grdpsjg6" w:id="5"/>
      <w:bookmarkEnd w:id="5"/>
      <w:r w:rsidDel="00000000" w:rsidR="00000000" w:rsidRPr="00000000">
        <w:rPr>
          <w:rFonts w:ascii="Open Sans" w:cs="Open Sans" w:eastAsia="Open Sans" w:hAnsi="Open Sans"/>
          <w:rtl w:val="0"/>
        </w:rPr>
        <w:t xml:space="preserve">Processus de candidature</w:t>
      </w:r>
    </w:p>
    <w:p w:rsidR="00000000" w:rsidDel="00000000" w:rsidP="00000000" w:rsidRDefault="00000000" w:rsidRPr="00000000" w14:paraId="00000039">
      <w:pPr>
        <w:rPr>
          <w:rFonts w:ascii="Open Sans" w:cs="Open Sans" w:eastAsia="Open Sans" w:hAnsi="Open Sans"/>
        </w:rPr>
      </w:pPr>
      <w:r w:rsidDel="00000000" w:rsidR="00000000" w:rsidRPr="00000000">
        <w:rPr>
          <w:rFonts w:ascii="Open Sans" w:cs="Open Sans" w:eastAsia="Open Sans" w:hAnsi="Open Sans"/>
          <w:rtl w:val="0"/>
        </w:rPr>
        <w:t xml:space="preserve">Au plus tard </w:t>
      </w:r>
      <w:r w:rsidDel="00000000" w:rsidR="00000000" w:rsidRPr="00000000">
        <w:rPr>
          <w:rFonts w:ascii="Open Sans" w:cs="Open Sans" w:eastAsia="Open Sans" w:hAnsi="Open Sans"/>
          <w:b w:val="1"/>
          <w:rtl w:val="0"/>
        </w:rPr>
        <w:t xml:space="preserve">le 25 août 2025 </w:t>
      </w:r>
      <w:r w:rsidDel="00000000" w:rsidR="00000000" w:rsidRPr="00000000">
        <w:rPr>
          <w:rFonts w:ascii="Open Sans" w:cs="Open Sans" w:eastAsia="Open Sans" w:hAnsi="Open Sans"/>
          <w:rtl w:val="0"/>
        </w:rPr>
        <w:t xml:space="preserve">à minuit, heure de Banjul, chaque candidat doit </w:t>
      </w:r>
      <w:r w:rsidDel="00000000" w:rsidR="00000000" w:rsidRPr="00000000">
        <w:rPr>
          <w:rFonts w:ascii="Open Sans" w:cs="Open Sans" w:eastAsia="Open Sans" w:hAnsi="Open Sans"/>
          <w:color w:val="000000"/>
          <w:rtl w:val="0"/>
        </w:rPr>
        <w:t xml:space="preserve">soumettre </w:t>
      </w:r>
      <w:hyperlink r:id="rId15">
        <w:r w:rsidDel="00000000" w:rsidR="00000000" w:rsidRPr="00000000">
          <w:rPr>
            <w:rFonts w:ascii="Open Sans" w:cs="Open Sans" w:eastAsia="Open Sans" w:hAnsi="Open Sans"/>
            <w:color w:val="1155cc"/>
            <w:u w:val="single"/>
            <w:rtl w:val="0"/>
          </w:rPr>
          <w:t xml:space="preserve">un formulaire de candidature dûment rempli accompagné d'une lettre de recommandation</w:t>
        </w:r>
      </w:hyperlink>
      <w:r w:rsidDel="00000000" w:rsidR="00000000" w:rsidRPr="00000000">
        <w:rPr>
          <w:rFonts w:ascii="Open Sans" w:cs="Open Sans" w:eastAsia="Open Sans" w:hAnsi="Open Sans"/>
          <w:rtl w:val="0"/>
        </w:rPr>
        <w:t xml:space="preserve"> provenant d'une organisation différente de la sienne </w:t>
      </w:r>
      <w:r w:rsidDel="00000000" w:rsidR="00000000" w:rsidRPr="00000000">
        <w:rPr>
          <w:rFonts w:ascii="Open Sans" w:cs="Open Sans" w:eastAsia="Open Sans" w:hAnsi="Open Sans"/>
          <w:color w:val="b60130"/>
          <w:rtl w:val="0"/>
        </w:rPr>
        <w:t xml:space="preserve">(prenez le temps de lire attentivement les conditions requises et de rassembler les informations nécessaires)</w:t>
      </w:r>
      <w:r w:rsidDel="00000000" w:rsidR="00000000" w:rsidRPr="00000000">
        <w:rPr>
          <w:rFonts w:ascii="Open Sans" w:cs="Open Sans" w:eastAsia="Open Sans" w:hAnsi="Open Sans"/>
          <w:rtl w:val="0"/>
        </w:rPr>
        <w:t xml:space="preserve">. Nous nous attendons à recevoir un grand nombre de candidatures et ne </w:t>
      </w:r>
      <w:r w:rsidDel="00000000" w:rsidR="00000000" w:rsidRPr="00000000">
        <w:rPr>
          <w:rFonts w:ascii="Open Sans" w:cs="Open Sans" w:eastAsia="Open Sans" w:hAnsi="Open Sans"/>
          <w:rtl w:val="0"/>
        </w:rPr>
        <w:t xml:space="preserve">sélectionnerons</w:t>
      </w:r>
      <w:r w:rsidDel="00000000" w:rsidR="00000000" w:rsidRPr="00000000">
        <w:rPr>
          <w:rFonts w:ascii="Open Sans" w:cs="Open Sans" w:eastAsia="Open Sans" w:hAnsi="Open Sans"/>
          <w:rtl w:val="0"/>
        </w:rPr>
        <w:t xml:space="preserve"> qu'environ 15 participants. Cela signifie que nous devrons refuser de nombreux candidats méritants. Nous vous remercions de votre compréhension. </w:t>
      </w:r>
      <w:r w:rsidDel="00000000" w:rsidR="00000000" w:rsidRPr="00000000">
        <w:rPr>
          <w:rFonts w:ascii="Open Sans" w:cs="Open Sans" w:eastAsia="Open Sans" w:hAnsi="Open Sans"/>
          <w:b w:val="1"/>
          <w:u w:val="single"/>
          <w:rtl w:val="0"/>
        </w:rPr>
        <w:t xml:space="preserve">SEULES les candidatures complètes seront prises en considération.</w:t>
      </w:r>
      <w:r w:rsidDel="00000000" w:rsidR="00000000" w:rsidRPr="00000000">
        <w:rPr>
          <w:rtl w:val="0"/>
        </w:rPr>
      </w:r>
    </w:p>
    <w:p w:rsidR="00000000" w:rsidDel="00000000" w:rsidP="00000000" w:rsidRDefault="00000000" w:rsidRPr="00000000" w14:paraId="0000003A">
      <w:pPr>
        <w:pStyle w:val="Heading1"/>
        <w:numPr>
          <w:ilvl w:val="0"/>
          <w:numId w:val="6"/>
        </w:numPr>
        <w:ind w:left="0" w:firstLine="0"/>
        <w:rPr>
          <w:rFonts w:ascii="Open Sans" w:cs="Open Sans" w:eastAsia="Open Sans" w:hAnsi="Open Sans"/>
        </w:rPr>
      </w:pPr>
      <w:bookmarkStart w:colFirst="0" w:colLast="0" w:name="_heading=h.r3n3tkxvql4c" w:id="6"/>
      <w:bookmarkEnd w:id="6"/>
      <w:r w:rsidDel="00000000" w:rsidR="00000000" w:rsidRPr="00000000">
        <w:rPr>
          <w:rFonts w:ascii="Open Sans" w:cs="Open Sans" w:eastAsia="Open Sans" w:hAnsi="Open Sans"/>
          <w:rtl w:val="0"/>
        </w:rPr>
        <w:t xml:space="preserve">Coût</w:t>
      </w:r>
    </w:p>
    <w:p w:rsidR="00000000" w:rsidDel="00000000" w:rsidP="00000000" w:rsidRDefault="00000000" w:rsidRPr="00000000" w14:paraId="0000003B">
      <w:pPr>
        <w:rPr>
          <w:rFonts w:ascii="Open Sans" w:cs="Open Sans" w:eastAsia="Open Sans" w:hAnsi="Open Sans"/>
          <w:b w:val="1"/>
        </w:rPr>
      </w:pPr>
      <w:r w:rsidDel="00000000" w:rsidR="00000000" w:rsidRPr="00000000">
        <w:rPr>
          <w:rFonts w:ascii="Open Sans" w:cs="Open Sans" w:eastAsia="Open Sans" w:hAnsi="Open Sans"/>
          <w:rtl w:val="0"/>
        </w:rPr>
        <w:t xml:space="preserve">L'ISHR prendra en charge les frais de participation de tous les candidats sélectionnés, y compris les vols, l'hébergement et les repas. L'ISHR étudiera la possibilité de couvrir la participation des stagiaires sélectionnés à la 85e session de la CADHP et au Forum des ONG, mais ne peut garantir que le financement sera disponible. Veuillez consulter le formulaire de candidature pour plus d'informations. </w:t>
      </w:r>
      <w:r w:rsidDel="00000000" w:rsidR="00000000" w:rsidRPr="00000000">
        <w:rPr>
          <w:rtl w:val="0"/>
        </w:rPr>
      </w:r>
    </w:p>
    <w:p w:rsidR="00000000" w:rsidDel="00000000" w:rsidP="00000000" w:rsidRDefault="00000000" w:rsidRPr="00000000" w14:paraId="0000003C">
      <w:pPr>
        <w:rPr>
          <w:b w:val="1"/>
        </w:rPr>
      </w:pPr>
      <w:r w:rsidDel="00000000" w:rsidR="00000000" w:rsidRPr="00000000">
        <w:rPr>
          <w:rtl w:val="0"/>
        </w:rPr>
      </w:r>
    </w:p>
    <w:p w:rsidR="00000000" w:rsidDel="00000000" w:rsidP="00000000" w:rsidRDefault="00000000" w:rsidRPr="00000000" w14:paraId="0000003D">
      <w:pPr>
        <w:rPr/>
      </w:pPr>
      <w:r w:rsidDel="00000000" w:rsidR="00000000" w:rsidRPr="00000000">
        <w:rPr>
          <w:rFonts w:ascii="Open Sans" w:cs="Open Sans" w:eastAsia="Open Sans" w:hAnsi="Open Sans"/>
          <w:b w:val="1"/>
          <w:rtl w:val="0"/>
        </w:rPr>
        <w:t xml:space="preserve"> Contact </w:t>
      </w:r>
      <w:r w:rsidDel="00000000" w:rsidR="00000000" w:rsidRPr="00000000">
        <w:rPr>
          <w:b w:val="1"/>
          <w:rtl w:val="0"/>
        </w:rPr>
        <w:t xml:space="preserve">: </w:t>
      </w:r>
      <w:hyperlink r:id="rId16">
        <w:r w:rsidDel="00000000" w:rsidR="00000000" w:rsidRPr="00000000">
          <w:rPr>
            <w:color w:val="b60130"/>
            <w:u w:val="single"/>
            <w:rtl w:val="0"/>
          </w:rPr>
          <w:t xml:space="preserve">training@ishr.ch</w:t>
        </w:r>
      </w:hyperlink>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sectPr>
      <w:headerReference r:id="rId17" w:type="default"/>
      <w:headerReference r:id="rId18" w:type="first"/>
      <w:footerReference r:id="rId19" w:type="default"/>
      <w:footerReference r:id="rId20" w:type="first"/>
      <w:pgSz w:h="16840" w:w="11900" w:orient="portrait"/>
      <w:pgMar w:bottom="851" w:top="1701" w:left="1418" w:right="1418"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ourier New"/>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center" w:leader="none" w:pos="4320"/>
        <w:tab w:val="right" w:leader="none" w:pos="8640"/>
      </w:tabs>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w:fldChar w:fldCharType="begin"/>
      <w:instrText xml:space="preserve">PAGE</w:instrText>
      <w:fldChar w:fldCharType="separate"/>
      <w:fldChar w:fldCharType="end"/>
    </w:r>
    <w:r w:rsidDel="00000000" w:rsidR="00000000" w:rsidRPr="00000000">
      <w:rPr>
        <w:rFonts w:ascii="Helvetica Neue" w:cs="Helvetica Neue" w:eastAsia="Helvetica Neue" w:hAnsi="Helvetica Neue"/>
        <w:color w:val="000000"/>
        <w:rtl w:val="0"/>
      </w:rPr>
      <w:t xml:space="preserve"> de la page de </w:t>
    </w:r>
    <w:r w:rsidDel="00000000" w:rsidR="00000000" w:rsidRPr="00000000">
      <w:rPr>
        <w:rFonts w:ascii="Helvetica Neue" w:cs="Helvetica Neue" w:eastAsia="Helvetica Neue" w:hAnsi="Helvetica Neue"/>
        <w:color w:val="000000"/>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center" w:leader="none" w:pos="4320"/>
        <w:tab w:val="right" w:leader="none" w:pos="8640"/>
      </w:tabs>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w:drawing>
        <wp:inline distB="0" distT="0" distL="0" distR="0">
          <wp:extent cx="5762625" cy="106045"/>
          <wp:effectExtent b="0" l="0" r="0" t="0"/>
          <wp:docPr descr="Description: address ge 3" id="60" name="image1.png"/>
          <a:graphic>
            <a:graphicData uri="http://schemas.openxmlformats.org/drawingml/2006/picture">
              <pic:pic>
                <pic:nvPicPr>
                  <pic:cNvPr descr="Description: address ge 3" id="0" name="image1.png"/>
                  <pic:cNvPicPr preferRelativeResize="0"/>
                </pic:nvPicPr>
                <pic:blipFill>
                  <a:blip r:embed="rId1"/>
                  <a:srcRect b="0" l="0" r="0" t="0"/>
                  <a:stretch>
                    <a:fillRect/>
                  </a:stretch>
                </pic:blipFill>
                <pic:spPr>
                  <a:xfrm>
                    <a:off x="0" y="0"/>
                    <a:ext cx="5762625" cy="106045"/>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center" w:leader="none" w:pos="4320"/>
        <w:tab w:val="right" w:leader="none" w:pos="8640"/>
        <w:tab w:val="left" w:leader="none" w:pos="1560"/>
      </w:tabs>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center" w:leader="none" w:pos="4320"/>
        <w:tab w:val="right" w:leader="none" w:pos="8640"/>
      </w:tabs>
      <w:jc w:val="right"/>
      <w:rPr>
        <w:rFonts w:ascii="Helvetica Neue" w:cs="Helvetica Neue" w:eastAsia="Helvetica Neue" w:hAnsi="Helvetica Neue"/>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-338451</wp:posOffset>
          </wp:positionH>
          <wp:positionV relativeFrom="paragraph">
            <wp:posOffset>-145411</wp:posOffset>
          </wp:positionV>
          <wp:extent cx="2686050" cy="626110"/>
          <wp:effectExtent b="0" l="0" r="0" t="0"/>
          <wp:wrapSquare wrapText="bothSides" distB="0" distT="0" distL="114300" distR="114300"/>
          <wp:docPr id="6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686050" cy="62611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77" w:hanging="360"/>
      </w:pPr>
      <w:rPr/>
    </w:lvl>
    <w:lvl w:ilvl="1">
      <w:start w:val="1"/>
      <w:numFmt w:val="bullet"/>
      <w:lvlText w:val="●"/>
      <w:lvlJc w:val="left"/>
      <w:pPr>
        <w:ind w:left="1497" w:hanging="360"/>
      </w:pPr>
      <w:rPr>
        <w:rFonts w:ascii="Noto Sans Symbols" w:cs="Noto Sans Symbols" w:eastAsia="Noto Sans Symbols" w:hAnsi="Noto Sans Symbols"/>
      </w:rPr>
    </w:lvl>
    <w:lvl w:ilvl="2">
      <w:start w:val="1"/>
      <w:numFmt w:val="bullet"/>
      <w:lvlText w:val="▪"/>
      <w:lvlJc w:val="left"/>
      <w:pPr>
        <w:ind w:left="2217" w:hanging="360"/>
      </w:pPr>
      <w:rPr>
        <w:rFonts w:ascii="Noto Sans Symbols" w:cs="Noto Sans Symbols" w:eastAsia="Noto Sans Symbols" w:hAnsi="Noto Sans Symbols"/>
      </w:rPr>
    </w:lvl>
    <w:lvl w:ilvl="3">
      <w:start w:val="1"/>
      <w:numFmt w:val="bullet"/>
      <w:lvlText w:val="●"/>
      <w:lvlJc w:val="left"/>
      <w:pPr>
        <w:ind w:left="2937" w:hanging="360"/>
      </w:pPr>
      <w:rPr>
        <w:rFonts w:ascii="Noto Sans Symbols" w:cs="Noto Sans Symbols" w:eastAsia="Noto Sans Symbols" w:hAnsi="Noto Sans Symbols"/>
      </w:rPr>
    </w:lvl>
    <w:lvl w:ilvl="4">
      <w:start w:val="1"/>
      <w:numFmt w:val="bullet"/>
      <w:lvlText w:val="o"/>
      <w:lvlJc w:val="left"/>
      <w:pPr>
        <w:ind w:left="3657" w:hanging="360"/>
      </w:pPr>
      <w:rPr>
        <w:rFonts w:ascii="Courier New" w:cs="Courier New" w:eastAsia="Courier New" w:hAnsi="Courier New"/>
      </w:rPr>
    </w:lvl>
    <w:lvl w:ilvl="5">
      <w:start w:val="1"/>
      <w:numFmt w:val="bullet"/>
      <w:lvlText w:val="▪"/>
      <w:lvlJc w:val="left"/>
      <w:pPr>
        <w:ind w:left="4377" w:hanging="360"/>
      </w:pPr>
      <w:rPr>
        <w:rFonts w:ascii="Noto Sans Symbols" w:cs="Noto Sans Symbols" w:eastAsia="Noto Sans Symbols" w:hAnsi="Noto Sans Symbols"/>
      </w:rPr>
    </w:lvl>
    <w:lvl w:ilvl="6">
      <w:start w:val="1"/>
      <w:numFmt w:val="bullet"/>
      <w:lvlText w:val="●"/>
      <w:lvlJc w:val="left"/>
      <w:pPr>
        <w:ind w:left="5097" w:hanging="360"/>
      </w:pPr>
      <w:rPr>
        <w:rFonts w:ascii="Noto Sans Symbols" w:cs="Noto Sans Symbols" w:eastAsia="Noto Sans Symbols" w:hAnsi="Noto Sans Symbols"/>
      </w:rPr>
    </w:lvl>
    <w:lvl w:ilvl="7">
      <w:start w:val="1"/>
      <w:numFmt w:val="bullet"/>
      <w:lvlText w:val="o"/>
      <w:lvlJc w:val="left"/>
      <w:pPr>
        <w:ind w:left="5817" w:hanging="360"/>
      </w:pPr>
      <w:rPr>
        <w:rFonts w:ascii="Courier New" w:cs="Courier New" w:eastAsia="Courier New" w:hAnsi="Courier New"/>
      </w:rPr>
    </w:lvl>
    <w:lvl w:ilvl="8">
      <w:start w:val="1"/>
      <w:numFmt w:val="bullet"/>
      <w:lvlText w:val="▪"/>
      <w:lvlJc w:val="left"/>
      <w:pPr>
        <w:ind w:left="6537" w:hanging="360"/>
      </w:pPr>
      <w:rPr>
        <w:rFonts w:ascii="Noto Sans Symbols" w:cs="Noto Sans Symbols" w:eastAsia="Noto Sans Symbols" w:hAnsi="Noto Sans Symbols"/>
      </w:rPr>
    </w:lvl>
  </w:abstractNum>
  <w:abstractNum w:abstractNumId="2">
    <w:lvl w:ilvl="0">
      <w:start w:val="1"/>
      <w:numFmt w:val="lowerLetter"/>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color w:val="0070c0"/>
      </w:rPr>
    </w:lvl>
    <w:lvl w:ilvl="2">
      <w:start w:val="3"/>
      <w:numFmt w:val="upperLetter"/>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
    <w:lvl w:ilvl="0">
      <w:start w:val="1"/>
      <w:numFmt w:val="lowerLetter"/>
      <w:lvlText w:val="%1)"/>
      <w:lvlJc w:val="left"/>
      <w:pPr>
        <w:ind w:left="777" w:hanging="360"/>
      </w:pPr>
      <w:rPr/>
    </w:lvl>
    <w:lvl w:ilvl="1">
      <w:start w:val="1"/>
      <w:numFmt w:val="decimal"/>
      <w:lvlText w:val="%2."/>
      <w:lvlJc w:val="left"/>
      <w:pPr>
        <w:ind w:left="1497" w:hanging="360"/>
      </w:pPr>
      <w:rPr/>
    </w:lvl>
    <w:lvl w:ilvl="2">
      <w:start w:val="1"/>
      <w:numFmt w:val="bullet"/>
      <w:lvlText w:val="▪"/>
      <w:lvlJc w:val="left"/>
      <w:pPr>
        <w:ind w:left="2217" w:hanging="360"/>
      </w:pPr>
      <w:rPr>
        <w:rFonts w:ascii="Noto Sans Symbols" w:cs="Noto Sans Symbols" w:eastAsia="Noto Sans Symbols" w:hAnsi="Noto Sans Symbols"/>
      </w:rPr>
    </w:lvl>
    <w:lvl w:ilvl="3">
      <w:start w:val="1"/>
      <w:numFmt w:val="bullet"/>
      <w:lvlText w:val="●"/>
      <w:lvlJc w:val="left"/>
      <w:pPr>
        <w:ind w:left="2937" w:hanging="360"/>
      </w:pPr>
      <w:rPr>
        <w:rFonts w:ascii="Noto Sans Symbols" w:cs="Noto Sans Symbols" w:eastAsia="Noto Sans Symbols" w:hAnsi="Noto Sans Symbols"/>
      </w:rPr>
    </w:lvl>
    <w:lvl w:ilvl="4">
      <w:start w:val="1"/>
      <w:numFmt w:val="bullet"/>
      <w:lvlText w:val="o"/>
      <w:lvlJc w:val="left"/>
      <w:pPr>
        <w:ind w:left="3657" w:hanging="360"/>
      </w:pPr>
      <w:rPr>
        <w:rFonts w:ascii="Courier New" w:cs="Courier New" w:eastAsia="Courier New" w:hAnsi="Courier New"/>
      </w:rPr>
    </w:lvl>
    <w:lvl w:ilvl="5">
      <w:start w:val="1"/>
      <w:numFmt w:val="bullet"/>
      <w:lvlText w:val="▪"/>
      <w:lvlJc w:val="left"/>
      <w:pPr>
        <w:ind w:left="4377" w:hanging="360"/>
      </w:pPr>
      <w:rPr>
        <w:rFonts w:ascii="Noto Sans Symbols" w:cs="Noto Sans Symbols" w:eastAsia="Noto Sans Symbols" w:hAnsi="Noto Sans Symbols"/>
      </w:rPr>
    </w:lvl>
    <w:lvl w:ilvl="6">
      <w:start w:val="1"/>
      <w:numFmt w:val="bullet"/>
      <w:lvlText w:val="●"/>
      <w:lvlJc w:val="left"/>
      <w:pPr>
        <w:ind w:left="5097" w:hanging="360"/>
      </w:pPr>
      <w:rPr>
        <w:rFonts w:ascii="Noto Sans Symbols" w:cs="Noto Sans Symbols" w:eastAsia="Noto Sans Symbols" w:hAnsi="Noto Sans Symbols"/>
      </w:rPr>
    </w:lvl>
    <w:lvl w:ilvl="7">
      <w:start w:val="1"/>
      <w:numFmt w:val="bullet"/>
      <w:lvlText w:val="o"/>
      <w:lvlJc w:val="left"/>
      <w:pPr>
        <w:ind w:left="5817" w:hanging="360"/>
      </w:pPr>
      <w:rPr>
        <w:rFonts w:ascii="Courier New" w:cs="Courier New" w:eastAsia="Courier New" w:hAnsi="Courier New"/>
      </w:rPr>
    </w:lvl>
    <w:lvl w:ilvl="8">
      <w:start w:val="1"/>
      <w:numFmt w:val="bullet"/>
      <w:lvlText w:val="▪"/>
      <w:lvlJc w:val="left"/>
      <w:pPr>
        <w:ind w:left="6537"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720"/>
      </w:pPr>
      <w:rPr/>
    </w:lvl>
    <w:lvl w:ilvl="1">
      <w:start w:val="1"/>
      <w:numFmt w:val="decimal"/>
      <w:lvlText w:val="%2."/>
      <w:lvlJc w:val="left"/>
      <w:pPr>
        <w:ind w:left="1440" w:hanging="720"/>
      </w:pPr>
      <w:rPr/>
    </w:lvl>
    <w:lvl w:ilvl="2">
      <w:start w:val="1"/>
      <w:numFmt w:val="decimal"/>
      <w:lvlText w:val="%3."/>
      <w:lvlJc w:val="left"/>
      <w:pPr>
        <w:ind w:left="2160" w:hanging="720"/>
      </w:pPr>
      <w:rPr/>
    </w:lvl>
    <w:lvl w:ilvl="3">
      <w:start w:val="1"/>
      <w:numFmt w:val="decimal"/>
      <w:lvlText w:val="%4."/>
      <w:lvlJc w:val="left"/>
      <w:pPr>
        <w:ind w:left="2880" w:hanging="720"/>
      </w:pPr>
      <w:rPr/>
    </w:lvl>
    <w:lvl w:ilvl="4">
      <w:start w:val="1"/>
      <w:numFmt w:val="decimal"/>
      <w:lvlText w:val="%5."/>
      <w:lvlJc w:val="left"/>
      <w:pPr>
        <w:ind w:left="3600" w:hanging="720"/>
      </w:pPr>
      <w:rPr/>
    </w:lvl>
    <w:lvl w:ilvl="5">
      <w:start w:val="1"/>
      <w:numFmt w:val="decimal"/>
      <w:lvlText w:val="%6."/>
      <w:lvlJc w:val="left"/>
      <w:pPr>
        <w:ind w:left="4320" w:hanging="720"/>
      </w:pPr>
      <w:rPr/>
    </w:lvl>
    <w:lvl w:ilvl="6">
      <w:start w:val="1"/>
      <w:numFmt w:val="decimal"/>
      <w:lvlText w:val="%7."/>
      <w:lvlJc w:val="left"/>
      <w:pPr>
        <w:ind w:left="5040" w:hanging="720"/>
      </w:pPr>
      <w:rPr/>
    </w:lvl>
    <w:lvl w:ilvl="7">
      <w:start w:val="1"/>
      <w:numFmt w:val="decimal"/>
      <w:lvlText w:val="%8."/>
      <w:lvlJc w:val="left"/>
      <w:pPr>
        <w:ind w:left="5760" w:hanging="720"/>
      </w:pPr>
      <w:rPr/>
    </w:lvl>
    <w:lvl w:ilvl="8">
      <w:start w:val="1"/>
      <w:numFmt w:val="decimal"/>
      <w:lvlText w:val="%9."/>
      <w:lvlJc w:val="left"/>
      <w:pPr>
        <w:ind w:left="6480" w:hanging="72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Helvetica Neue" w:cs="Helvetica Neue" w:eastAsia="Helvetica Neue" w:hAnsi="Helvetica Neue"/>
        <w:lang w:val="en_GB"/>
      </w:rPr>
    </w:rPrDefault>
    <w:pPrDefault>
      <w:pPr>
        <w:spacing w:after="100" w:before="100" w:lineRule="auto"/>
        <w:jc w:val="both"/>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spacing w:before="360" w:lineRule="auto"/>
      <w:ind w:left="454" w:hanging="454"/>
    </w:pPr>
    <w:rPr>
      <w:b w:val="1"/>
      <w:color w:val="0a0a0a"/>
      <w:sz w:val="24"/>
      <w:szCs w:val="24"/>
    </w:rPr>
  </w:style>
  <w:style w:type="paragraph" w:styleId="Heading2">
    <w:name w:val="heading 2"/>
    <w:basedOn w:val="Normal"/>
    <w:next w:val="Normal"/>
    <w:pPr>
      <w:spacing w:before="240" w:lineRule="auto"/>
      <w:ind w:left="1440" w:hanging="720"/>
    </w:pPr>
    <w:rPr>
      <w:smallCaps w:val="1"/>
      <w:color w:val="0a0a0a"/>
    </w:rPr>
  </w:style>
  <w:style w:type="paragraph" w:styleId="Heading3">
    <w:name w:val="heading 3"/>
    <w:basedOn w:val="Normal"/>
    <w:next w:val="Normal"/>
    <w:pPr>
      <w:tabs>
        <w:tab w:val="left" w:leader="none" w:pos="-720"/>
      </w:tabs>
      <w:ind w:right="-79"/>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FootnoteText">
    <w:name w:val="footnote text"/>
    <w:aliases w:val="Heading 1 Char"/>
    <w:basedOn w:val="Normal"/>
    <w:link w:val="FootnoteTextChar1"/>
    <w:uiPriority w:val="99"/>
    <w:unhideWhenUsed w:val="1"/>
    <w:rsid w:val="00F72D3F"/>
  </w:style>
  <w:style w:type="character" w:styleId="Heading2Char" w:customStyle="1">
    <w:name w:val="Heading 2 Char"/>
    <w:link w:val="Maintitle"/>
    <w:uiPriority w:val="9"/>
    <w:rsid w:val="00F72D3F"/>
    <w:rPr>
      <w:rFonts w:ascii="Helvetica" w:hAnsi="Helvetica"/>
    </w:rPr>
  </w:style>
  <w:style w:type="character" w:styleId="FootnoteReference">
    <w:name w:val="footnote reference"/>
    <w:aliases w:val="Heading 3 Char"/>
    <w:link w:val="Heading3"/>
    <w:uiPriority w:val="9"/>
    <w:unhideWhenUsed w:val="1"/>
    <w:rsid w:val="00F72D3F"/>
    <w:rPr>
      <w:vertAlign w:val="superscript"/>
    </w:rPr>
  </w:style>
  <w:style w:type="paragraph" w:styleId="Maintitle" w:customStyle="1">
    <w:name w:val="Main title"/>
    <w:basedOn w:val="Normal"/>
    <w:link w:val="Heading2Char"/>
    <w:rsid w:val="00544735"/>
    <w:pPr>
      <w:autoSpaceDE w:val="0"/>
      <w:autoSpaceDN w:val="0"/>
      <w:adjustRightInd w:val="0"/>
    </w:pPr>
    <w:rPr>
      <w:rFonts w:cs="Arial-BoldMT"/>
      <w:b w:val="1"/>
      <w:bCs w:val="1"/>
      <w:sz w:val="28"/>
      <w:szCs w:val="28"/>
      <w:lang w:val="fr-FR"/>
    </w:rPr>
  </w:style>
  <w:style w:type="paragraph" w:styleId="FootnoteTextChar" w:customStyle="1">
    <w:name w:val="Footnote Text Char"/>
    <w:aliases w:val="Heading 1 Char Char"/>
    <w:basedOn w:val="Normal"/>
    <w:link w:val="FootnoteTextCharChar"/>
    <w:autoRedefine w:val="1"/>
    <w:rsid w:val="00042B78"/>
    <w:pPr>
      <w:autoSpaceDE w:val="0"/>
      <w:autoSpaceDN w:val="0"/>
      <w:adjustRightInd w:val="0"/>
      <w:spacing w:after="400" w:before="0"/>
      <w:outlineLvl w:val="1"/>
    </w:pPr>
    <w:rPr>
      <w:rFonts w:cs="Arial-BoldMT"/>
      <w:bCs w:val="1"/>
      <w:sz w:val="26"/>
      <w:szCs w:val="26"/>
      <w:lang w:val="fr-FR"/>
    </w:rPr>
  </w:style>
  <w:style w:type="paragraph" w:styleId="Date1" w:customStyle="1">
    <w:name w:val="Date1"/>
    <w:basedOn w:val="Normal"/>
    <w:rsid w:val="0058747A"/>
    <w:pPr>
      <w:spacing w:before="0"/>
    </w:pPr>
  </w:style>
  <w:style w:type="paragraph" w:styleId="Footer">
    <w:name w:val="footer"/>
    <w:basedOn w:val="Normal"/>
    <w:semiHidden w:val="1"/>
    <w:rsid w:val="004F5DC8"/>
    <w:pPr>
      <w:tabs>
        <w:tab w:val="center" w:pos="4320"/>
        <w:tab w:val="right" w:pos="8640"/>
      </w:tabs>
    </w:pPr>
  </w:style>
  <w:style w:type="paragraph" w:styleId="Header">
    <w:name w:val="header"/>
    <w:basedOn w:val="Normal"/>
    <w:rsid w:val="0058747A"/>
    <w:pPr>
      <w:tabs>
        <w:tab w:val="center" w:pos="4320"/>
        <w:tab w:val="right" w:pos="8640"/>
      </w:tabs>
    </w:pPr>
  </w:style>
  <w:style w:type="table" w:styleId="TableGrid">
    <w:name w:val="Table Grid"/>
    <w:basedOn w:val="TableNormal"/>
    <w:rsid w:val="0058747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dyText">
    <w:name w:val="Body Text"/>
    <w:basedOn w:val="Normal"/>
    <w:semiHidden w:val="1"/>
    <w:unhideWhenUsed w:val="1"/>
    <w:rsid w:val="00544735"/>
    <w:pPr>
      <w:spacing w:after="120" w:line="276" w:lineRule="auto"/>
    </w:pPr>
    <w:rPr>
      <w:rFonts w:eastAsia="Calibri"/>
      <w:szCs w:val="22"/>
    </w:rPr>
  </w:style>
  <w:style w:type="paragraph" w:styleId="BalloonText">
    <w:name w:val="Balloon Text"/>
    <w:basedOn w:val="Normal"/>
    <w:link w:val="BalloonTextChar"/>
    <w:uiPriority w:val="99"/>
    <w:semiHidden w:val="1"/>
    <w:unhideWhenUsed w:val="1"/>
    <w:rsid w:val="00486FC5"/>
    <w:pPr>
      <w:spacing w:after="0" w:before="0"/>
    </w:pPr>
    <w:rPr>
      <w:rFonts w:ascii="Tahoma" w:cs="Tahoma" w:hAnsi="Tahoma"/>
      <w:sz w:val="16"/>
      <w:szCs w:val="16"/>
    </w:rPr>
  </w:style>
  <w:style w:type="character" w:styleId="BalloonTextChar" w:customStyle="1">
    <w:name w:val="Balloon Text Char"/>
    <w:link w:val="BalloonText"/>
    <w:uiPriority w:val="99"/>
    <w:semiHidden w:val="1"/>
    <w:rsid w:val="00486FC5"/>
    <w:rPr>
      <w:rFonts w:ascii="Tahoma" w:cs="Tahoma" w:hAnsi="Tahoma"/>
      <w:sz w:val="16"/>
      <w:szCs w:val="16"/>
      <w:lang w:eastAsia="en-US" w:val="en-US"/>
    </w:rPr>
  </w:style>
  <w:style w:type="paragraph" w:styleId="MainTitleISHRstyle" w:customStyle="1">
    <w:name w:val="Main Title_ISHR style"/>
    <w:basedOn w:val="Maintitle"/>
    <w:link w:val="MainTitleISHRstyleChar"/>
    <w:qFormat w:val="1"/>
    <w:rsid w:val="00643F28"/>
    <w:rPr>
      <w:bCs w:val="0"/>
      <w:sz w:val="32"/>
      <w:szCs w:val="32"/>
      <w:lang w:val="en-GB"/>
    </w:rPr>
  </w:style>
  <w:style w:type="paragraph" w:styleId="SubtitleISHRstyle" w:customStyle="1">
    <w:name w:val="Subtitle_ISHR style"/>
    <w:basedOn w:val="FootnoteTextChar"/>
    <w:link w:val="SubtitleISHRstyleChar"/>
    <w:qFormat w:val="1"/>
    <w:rsid w:val="00BD253D"/>
    <w:pPr>
      <w:outlineLvl w:val="9"/>
    </w:pPr>
    <w:rPr>
      <w:bCs w:val="0"/>
      <w:lang w:val="en-GB"/>
    </w:rPr>
  </w:style>
  <w:style w:type="character" w:styleId="MainTitleISHRstyleChar" w:customStyle="1">
    <w:name w:val="Main Title_ISHR style Char"/>
    <w:link w:val="MainTitleISHRstyle"/>
    <w:rsid w:val="00643F28"/>
    <w:rPr>
      <w:rFonts w:ascii="Helvetica" w:cs="Arial-BoldMT" w:eastAsia="Times New Roman" w:hAnsi="Helvetica"/>
      <w:b w:val="1"/>
      <w:sz w:val="32"/>
      <w:szCs w:val="32"/>
      <w:lang w:eastAsia="en-US"/>
    </w:rPr>
  </w:style>
  <w:style w:type="paragraph" w:styleId="Heading1ISHRstyle" w:customStyle="1">
    <w:name w:val="Heading1_ISHR style"/>
    <w:basedOn w:val="Heading1"/>
    <w:link w:val="Heading1ISHRstyleChar"/>
    <w:qFormat w:val="1"/>
    <w:rsid w:val="00042B78"/>
  </w:style>
  <w:style w:type="character" w:styleId="FootnoteTextCharChar" w:customStyle="1">
    <w:name w:val="Footnote Text Char Char"/>
    <w:aliases w:val="Heading 1 Char Char Char"/>
    <w:link w:val="FootnoteTextChar"/>
    <w:rsid w:val="00042B78"/>
    <w:rPr>
      <w:rFonts w:ascii="Helvetica" w:cs="Arial-BoldMT" w:hAnsi="Helvetica"/>
      <w:bCs w:val="1"/>
      <w:sz w:val="26"/>
      <w:szCs w:val="26"/>
      <w:lang w:eastAsia="en-US" w:val="fr-FR"/>
    </w:rPr>
  </w:style>
  <w:style w:type="character" w:styleId="SubtitleISHRstyleChar" w:customStyle="1">
    <w:name w:val="Subtitle_ISHR style Char"/>
    <w:link w:val="SubtitleISHRstyle"/>
    <w:rsid w:val="00BD253D"/>
    <w:rPr>
      <w:rFonts w:ascii="Helvetica" w:cs="Arial-BoldMT" w:eastAsia="Times New Roman" w:hAnsi="Helvetica"/>
      <w:sz w:val="26"/>
      <w:szCs w:val="26"/>
      <w:lang w:eastAsia="en-US"/>
    </w:rPr>
  </w:style>
  <w:style w:type="paragraph" w:styleId="Heading2ISHRstyle" w:customStyle="1">
    <w:name w:val="Heading2_ISHR style"/>
    <w:basedOn w:val="Heading2"/>
    <w:link w:val="Heading2ISHRstyleChar"/>
    <w:qFormat w:val="1"/>
    <w:rsid w:val="00352904"/>
    <w:pPr>
      <w:spacing w:before="100"/>
    </w:pPr>
    <w:rPr>
      <w:b w:val="1"/>
      <w:lang w:val="en-GB"/>
    </w:rPr>
  </w:style>
  <w:style w:type="character" w:styleId="Heading1Char1" w:customStyle="1">
    <w:name w:val="Heading 1 Char1"/>
    <w:link w:val="Heading1"/>
    <w:uiPriority w:val="9"/>
    <w:rsid w:val="004B027E"/>
    <w:rPr>
      <w:rFonts w:ascii="Helvetica" w:eastAsia="Times New Roman" w:hAnsi="Helvetica"/>
      <w:b w:val="1"/>
      <w:color w:val="0a0a0a"/>
      <w:sz w:val="24"/>
      <w:szCs w:val="28"/>
      <w:lang w:eastAsia="en-US"/>
    </w:rPr>
  </w:style>
  <w:style w:type="character" w:styleId="Heading1ISHRstyleChar" w:customStyle="1">
    <w:name w:val="Heading1_ISHR style Char"/>
    <w:link w:val="Heading1ISHRstyle"/>
    <w:rsid w:val="00042B78"/>
    <w:rPr>
      <w:rFonts w:ascii="Helvetica" w:hAnsi="Helvetica"/>
      <w:b w:val="1"/>
      <w:color w:val="0a0a0a"/>
      <w:sz w:val="24"/>
      <w:szCs w:val="28"/>
      <w:lang w:eastAsia="en-US" w:val="fr-FR"/>
    </w:rPr>
  </w:style>
  <w:style w:type="paragraph" w:styleId="Heading3ISHRstyle" w:customStyle="1">
    <w:name w:val="Heading3_ISHR style"/>
    <w:basedOn w:val="Heading3"/>
    <w:link w:val="Heading3ISHRstyleChar"/>
    <w:qFormat w:val="1"/>
    <w:rsid w:val="000A0E70"/>
    <w:pPr>
      <w:spacing w:after="0"/>
    </w:pPr>
    <w:rPr>
      <w:lang w:val="en-GB"/>
    </w:rPr>
  </w:style>
  <w:style w:type="character" w:styleId="Heading2Char1" w:customStyle="1">
    <w:name w:val="Heading 2 Char1"/>
    <w:link w:val="Heading2"/>
    <w:uiPriority w:val="9"/>
    <w:rsid w:val="0007180D"/>
    <w:rPr>
      <w:rFonts w:ascii="Helvetica" w:eastAsia="Times New Roman" w:hAnsi="Helvetica"/>
      <w:caps w:val="1"/>
      <w:color w:val="0a0a0a"/>
      <w:sz w:val="22"/>
      <w:szCs w:val="28"/>
      <w:lang w:eastAsia="en-US" w:val="fr-FR"/>
    </w:rPr>
  </w:style>
  <w:style w:type="character" w:styleId="Heading2ISHRstyleChar" w:customStyle="1">
    <w:name w:val="Heading2_ISHR style Char"/>
    <w:link w:val="Heading2ISHRstyle"/>
    <w:rsid w:val="00352904"/>
    <w:rPr>
      <w:rFonts w:ascii="Helvetica" w:hAnsi="Helvetica"/>
      <w:b w:val="1"/>
      <w:caps w:val="1"/>
      <w:color w:val="0a0a0a"/>
      <w:sz w:val="22"/>
      <w:szCs w:val="28"/>
      <w:lang w:eastAsia="en-US"/>
    </w:rPr>
  </w:style>
  <w:style w:type="character" w:styleId="Heading3ISHRstyleChar" w:customStyle="1">
    <w:name w:val="Heading3_ISHR style Char"/>
    <w:link w:val="Heading3ISHRstyle"/>
    <w:rsid w:val="000A0E70"/>
    <w:rPr>
      <w:rFonts w:ascii="Helvetica" w:hAnsi="Helvetica"/>
      <w:b w:val="1"/>
      <w:spacing w:val="-2"/>
      <w:sz w:val="22"/>
      <w:szCs w:val="24"/>
      <w:lang w:eastAsia="en-US"/>
    </w:rPr>
  </w:style>
  <w:style w:type="paragraph" w:styleId="ListParagraph">
    <w:name w:val="List Paragraph"/>
    <w:basedOn w:val="Normal-bullet"/>
    <w:uiPriority w:val="34"/>
    <w:qFormat w:val="1"/>
    <w:rsid w:val="00F17AD9"/>
    <w:rPr>
      <w:lang w:val="en-US"/>
    </w:rPr>
  </w:style>
  <w:style w:type="character" w:styleId="BookTitle">
    <w:name w:val="Book Title"/>
    <w:uiPriority w:val="33"/>
    <w:rsid w:val="00042B78"/>
    <w:rPr>
      <w:b w:val="1"/>
      <w:bCs w:val="1"/>
      <w:smallCaps w:val="1"/>
      <w:spacing w:val="5"/>
    </w:rPr>
  </w:style>
  <w:style w:type="paragraph" w:styleId="FootnoteISHRstyle" w:customStyle="1">
    <w:name w:val="Footnote_ISHR style"/>
    <w:basedOn w:val="FootnoteText"/>
    <w:link w:val="FootnoteISHRstyleChar"/>
    <w:qFormat w:val="1"/>
    <w:rsid w:val="000A0E70"/>
    <w:pPr>
      <w:spacing w:afterAutospacing="1" w:before="0"/>
    </w:pPr>
    <w:rPr>
      <w:sz w:val="18"/>
    </w:rPr>
  </w:style>
  <w:style w:type="character" w:styleId="FootnoteTextChar1" w:customStyle="1">
    <w:name w:val="Footnote Text Char1"/>
    <w:aliases w:val="Heading 1 Char Char1"/>
    <w:link w:val="FootnoteText"/>
    <w:uiPriority w:val="99"/>
    <w:rsid w:val="00E879C0"/>
    <w:rPr>
      <w:rFonts w:ascii="Helvetica" w:hAnsi="Helvetica"/>
      <w:sz w:val="22"/>
      <w:szCs w:val="24"/>
      <w:lang w:eastAsia="en-US" w:val="en-US"/>
    </w:rPr>
  </w:style>
  <w:style w:type="character" w:styleId="FootnoteISHRstyleChar" w:customStyle="1">
    <w:name w:val="Footnote_ISHR style Char"/>
    <w:link w:val="FootnoteISHRstyle"/>
    <w:rsid w:val="000A0E70"/>
    <w:rPr>
      <w:rFonts w:ascii="Helvetica" w:hAnsi="Helvetica"/>
      <w:sz w:val="18"/>
      <w:szCs w:val="24"/>
      <w:lang w:eastAsia="en-US"/>
    </w:rPr>
  </w:style>
  <w:style w:type="character" w:styleId="PageNumber">
    <w:name w:val="page number"/>
    <w:basedOn w:val="DefaultParagraphFont"/>
    <w:rsid w:val="00134053"/>
  </w:style>
  <w:style w:type="paragraph" w:styleId="NormalWeb">
    <w:name w:val="Normal (Web)"/>
    <w:basedOn w:val="Normal"/>
    <w:rsid w:val="00134053"/>
    <w:pPr>
      <w:spacing w:afterAutospacing="1" w:beforeAutospacing="1"/>
    </w:pPr>
    <w:rPr>
      <w:rFonts w:ascii="Times" w:eastAsia="Times" w:hAnsi="Times"/>
      <w:szCs w:val="20"/>
    </w:rPr>
  </w:style>
  <w:style w:type="paragraph" w:styleId="CommentText">
    <w:name w:val="annotation text"/>
    <w:basedOn w:val="Normal"/>
    <w:link w:val="CommentTextChar"/>
    <w:uiPriority w:val="99"/>
    <w:unhideWhenUsed w:val="1"/>
    <w:rsid w:val="0062558E"/>
    <w:rPr>
      <w:sz w:val="24"/>
    </w:rPr>
  </w:style>
  <w:style w:type="character" w:styleId="CommentTextChar" w:customStyle="1">
    <w:name w:val="Comment Text Char"/>
    <w:basedOn w:val="DefaultParagraphFont"/>
    <w:link w:val="CommentText"/>
    <w:uiPriority w:val="99"/>
    <w:rsid w:val="0062558E"/>
    <w:rPr>
      <w:rFonts w:ascii="Helvetica" w:hAnsi="Helvetica"/>
      <w:sz w:val="24"/>
      <w:szCs w:val="24"/>
      <w:lang w:eastAsia="en-US"/>
    </w:rPr>
  </w:style>
  <w:style w:type="character" w:styleId="CommentReference">
    <w:name w:val="annotation reference"/>
    <w:uiPriority w:val="99"/>
    <w:semiHidden w:val="1"/>
    <w:rsid w:val="0062558E"/>
    <w:rPr>
      <w:sz w:val="16"/>
      <w:szCs w:val="16"/>
    </w:rPr>
  </w:style>
  <w:style w:type="paragraph" w:styleId="CommentSubject">
    <w:name w:val="annotation subject"/>
    <w:basedOn w:val="CommentText"/>
    <w:next w:val="CommentText"/>
    <w:link w:val="CommentSubjectChar"/>
    <w:uiPriority w:val="99"/>
    <w:semiHidden w:val="1"/>
    <w:unhideWhenUsed w:val="1"/>
    <w:rsid w:val="0062558E"/>
    <w:rPr>
      <w:b w:val="1"/>
      <w:bCs w:val="1"/>
      <w:sz w:val="20"/>
      <w:szCs w:val="20"/>
    </w:rPr>
  </w:style>
  <w:style w:type="character" w:styleId="CommentSubjectChar" w:customStyle="1">
    <w:name w:val="Comment Subject Char"/>
    <w:basedOn w:val="CommentTextChar"/>
    <w:link w:val="CommentSubject"/>
    <w:uiPriority w:val="99"/>
    <w:semiHidden w:val="1"/>
    <w:rsid w:val="0062558E"/>
    <w:rPr>
      <w:rFonts w:ascii="Helvetica" w:hAnsi="Helvetica"/>
      <w:b w:val="1"/>
      <w:bCs w:val="1"/>
      <w:sz w:val="24"/>
      <w:szCs w:val="24"/>
      <w:lang w:eastAsia="en-US"/>
    </w:rPr>
  </w:style>
  <w:style w:type="paragraph" w:styleId="Revision">
    <w:name w:val="Revision"/>
    <w:hidden w:val="1"/>
    <w:uiPriority w:val="99"/>
    <w:semiHidden w:val="1"/>
    <w:rsid w:val="00B24474"/>
    <w:pPr>
      <w:spacing w:after="0" w:before="0"/>
    </w:pPr>
    <w:rPr>
      <w:rFonts w:ascii="Helvetica" w:hAnsi="Helvetica"/>
      <w:sz w:val="22"/>
      <w:szCs w:val="24"/>
      <w:lang w:eastAsia="en-US"/>
    </w:rPr>
  </w:style>
  <w:style w:type="paragraph" w:styleId="DocumentMap">
    <w:name w:val="Document Map"/>
    <w:basedOn w:val="Normal"/>
    <w:link w:val="DocumentMapChar"/>
    <w:uiPriority w:val="99"/>
    <w:semiHidden w:val="1"/>
    <w:unhideWhenUsed w:val="1"/>
    <w:rsid w:val="00D44263"/>
    <w:pPr>
      <w:spacing w:after="0" w:before="0"/>
    </w:pPr>
    <w:rPr>
      <w:rFonts w:ascii="Lucida Grande" w:cs="Lucida Grande" w:hAnsi="Lucida Grande"/>
      <w:sz w:val="24"/>
    </w:rPr>
  </w:style>
  <w:style w:type="character" w:styleId="DocumentMapChar" w:customStyle="1">
    <w:name w:val="Document Map Char"/>
    <w:basedOn w:val="DefaultParagraphFont"/>
    <w:link w:val="DocumentMap"/>
    <w:uiPriority w:val="99"/>
    <w:semiHidden w:val="1"/>
    <w:rsid w:val="00D44263"/>
    <w:rPr>
      <w:rFonts w:ascii="Lucida Grande" w:cs="Lucida Grande" w:hAnsi="Lucida Grande"/>
      <w:sz w:val="24"/>
      <w:szCs w:val="24"/>
      <w:lang w:eastAsia="en-US"/>
    </w:rPr>
  </w:style>
  <w:style w:type="paragraph" w:styleId="Normal-bullet" w:customStyle="1">
    <w:name w:val="Normal-bullet"/>
    <w:basedOn w:val="Normal"/>
    <w:autoRedefine w:val="1"/>
    <w:rsid w:val="00F17AD9"/>
    <w:pPr>
      <w:contextualSpacing w:val="1"/>
    </w:pPr>
  </w:style>
  <w:style w:type="paragraph" w:styleId="TOC1">
    <w:name w:val="toc 1"/>
    <w:basedOn w:val="Normal"/>
    <w:next w:val="Normal"/>
    <w:autoRedefine w:val="1"/>
    <w:uiPriority w:val="39"/>
    <w:unhideWhenUsed w:val="1"/>
    <w:rsid w:val="00DE1052"/>
    <w:pPr>
      <w:tabs>
        <w:tab w:val="left" w:pos="436"/>
        <w:tab w:val="right" w:leader="dot" w:pos="7513"/>
      </w:tabs>
      <w:ind w:right="1409"/>
    </w:pPr>
  </w:style>
  <w:style w:type="paragraph" w:styleId="TOC2">
    <w:name w:val="toc 2"/>
    <w:basedOn w:val="Normal"/>
    <w:next w:val="Normal"/>
    <w:autoRedefine w:val="1"/>
    <w:uiPriority w:val="39"/>
    <w:unhideWhenUsed w:val="1"/>
    <w:rsid w:val="006F11DD"/>
    <w:pPr>
      <w:tabs>
        <w:tab w:val="left" w:pos="656"/>
        <w:tab w:val="right" w:leader="dot" w:pos="9054"/>
      </w:tabs>
      <w:ind w:left="220"/>
    </w:pPr>
  </w:style>
  <w:style w:type="paragraph" w:styleId="TOC3">
    <w:name w:val="toc 3"/>
    <w:basedOn w:val="Normal"/>
    <w:next w:val="Normal"/>
    <w:autoRedefine w:val="1"/>
    <w:uiPriority w:val="39"/>
    <w:unhideWhenUsed w:val="1"/>
    <w:rsid w:val="00BD253D"/>
    <w:pPr>
      <w:ind w:left="440"/>
    </w:pPr>
  </w:style>
  <w:style w:type="paragraph" w:styleId="TOC4">
    <w:name w:val="toc 4"/>
    <w:basedOn w:val="Normal"/>
    <w:next w:val="Normal"/>
    <w:autoRedefine w:val="1"/>
    <w:uiPriority w:val="39"/>
    <w:unhideWhenUsed w:val="1"/>
    <w:rsid w:val="00BD253D"/>
    <w:pPr>
      <w:ind w:left="660"/>
    </w:pPr>
  </w:style>
  <w:style w:type="paragraph" w:styleId="TOC5">
    <w:name w:val="toc 5"/>
    <w:basedOn w:val="Normal"/>
    <w:next w:val="Normal"/>
    <w:autoRedefine w:val="1"/>
    <w:uiPriority w:val="39"/>
    <w:unhideWhenUsed w:val="1"/>
    <w:rsid w:val="00BD253D"/>
    <w:pPr>
      <w:ind w:left="880"/>
    </w:pPr>
  </w:style>
  <w:style w:type="paragraph" w:styleId="TOC6">
    <w:name w:val="toc 6"/>
    <w:basedOn w:val="Normal"/>
    <w:next w:val="Normal"/>
    <w:autoRedefine w:val="1"/>
    <w:uiPriority w:val="39"/>
    <w:unhideWhenUsed w:val="1"/>
    <w:rsid w:val="00BD253D"/>
    <w:pPr>
      <w:ind w:left="1100"/>
    </w:pPr>
  </w:style>
  <w:style w:type="paragraph" w:styleId="TOC7">
    <w:name w:val="toc 7"/>
    <w:basedOn w:val="Normal"/>
    <w:next w:val="Normal"/>
    <w:autoRedefine w:val="1"/>
    <w:uiPriority w:val="39"/>
    <w:unhideWhenUsed w:val="1"/>
    <w:rsid w:val="00BD253D"/>
    <w:pPr>
      <w:ind w:left="1320"/>
    </w:pPr>
  </w:style>
  <w:style w:type="paragraph" w:styleId="TOC8">
    <w:name w:val="toc 8"/>
    <w:basedOn w:val="Normal"/>
    <w:next w:val="Normal"/>
    <w:autoRedefine w:val="1"/>
    <w:uiPriority w:val="39"/>
    <w:unhideWhenUsed w:val="1"/>
    <w:rsid w:val="00BD253D"/>
    <w:pPr>
      <w:ind w:left="1540"/>
    </w:pPr>
  </w:style>
  <w:style w:type="paragraph" w:styleId="TOC9">
    <w:name w:val="toc 9"/>
    <w:basedOn w:val="Normal"/>
    <w:next w:val="Normal"/>
    <w:autoRedefine w:val="1"/>
    <w:uiPriority w:val="39"/>
    <w:unhideWhenUsed w:val="1"/>
    <w:rsid w:val="00BD253D"/>
    <w:pPr>
      <w:ind w:left="1760"/>
    </w:pPr>
  </w:style>
  <w:style w:type="character" w:styleId="Hyperlink">
    <w:name w:val="Hyperlink"/>
    <w:basedOn w:val="DefaultParagraphFont"/>
    <w:uiPriority w:val="99"/>
    <w:unhideWhenUsed w:val="1"/>
    <w:rsid w:val="00F17AD9"/>
    <w:rPr>
      <w:color w:val="b60130"/>
      <w:u w:val="single"/>
    </w:rPr>
  </w:style>
  <w:style w:type="table" w:styleId="LightList">
    <w:name w:val="Light List"/>
    <w:basedOn w:val="TableNormal"/>
    <w:uiPriority w:val="61"/>
    <w:rsid w:val="00DE3D8E"/>
    <w:pPr>
      <w:spacing w:after="0" w:before="0"/>
    </w:p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tblBorders>
    </w:tblPr>
    <w:tblStylePr w:type="firstRow">
      <w:pPr>
        <w:spacing w:after="0" w:before="0" w:line="240" w:lineRule="auto"/>
      </w:pPr>
      <w:rPr>
        <w:b w:val="1"/>
        <w:bCs w:val="1"/>
        <w:color w:val="ffffff" w:themeColor="background1"/>
      </w:rPr>
      <w:tblPr/>
      <w:tcPr>
        <w:shd w:color="auto" w:fill="000000" w:themeFill="text1" w:val="clear"/>
      </w:tcPr>
    </w:tblStylePr>
    <w:tblStylePr w:type="lastRow">
      <w:pPr>
        <w:spacing w:after="0" w:before="0" w:line="240" w:lineRule="auto"/>
      </w:pPr>
      <w:rPr>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val="1"/>
        <w:bCs w:val="1"/>
      </w:rPr>
    </w:tblStylePr>
    <w:tblStylePr w:type="lastCol">
      <w:rPr>
        <w:b w:val="1"/>
        <w:bCs w:val="1"/>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type="table" w:styleId="MediumShading1-Accent1">
    <w:name w:val="Medium Shading 1 Accent 1"/>
    <w:basedOn w:val="TableNormal"/>
    <w:uiPriority w:val="63"/>
    <w:rsid w:val="00DE3D8E"/>
    <w:pPr>
      <w:spacing w:after="0" w:before="0"/>
    </w:pPr>
    <w:tblPr>
      <w:tblStyleRowBandSize w:val="1"/>
      <w:tblStyleColBandSize w:val="1"/>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tblBorders>
    </w:tblPr>
    <w:tblStylePr w:type="firstRow">
      <w:pPr>
        <w:spacing w:after="0" w:before="0" w:line="240" w:lineRule="auto"/>
      </w:pPr>
      <w:rPr>
        <w:b w:val="1"/>
        <w:bCs w:val="1"/>
        <w:color w:val="ffffff" w:themeColor="background1"/>
      </w:rPr>
      <w:tblPr/>
      <w:tcPr>
        <w:tc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shd w:color="auto" w:fill="4f81bd" w:themeFill="accent1" w:val="clear"/>
      </w:tcPr>
    </w:tblStylePr>
    <w:tblStylePr w:type="lastRow">
      <w:pPr>
        <w:spacing w:after="0" w:before="0" w:line="240" w:lineRule="auto"/>
      </w:pPr>
      <w:rPr>
        <w:b w:val="1"/>
        <w:bCs w:val="1"/>
      </w:rPr>
      <w:tblPr/>
      <w:tcPr>
        <w:tcBorders>
          <w:top w:color="7ba0cd" w:space="0" w:sz="6" w:themeColor="accent1" w:themeTint="0000BF" w:val="doub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themeFill="accent1" w:themeFillTint="00003F" w:val="clear"/>
      </w:tcPr>
    </w:tblStylePr>
    <w:tblStylePr w:type="band1Horz">
      <w:tblPr/>
      <w:tcPr>
        <w:tcBorders>
          <w:insideH w:space="0" w:sz="0" w:val="nil"/>
          <w:insideV w:space="0" w:sz="0" w:val="nil"/>
        </w:tcBorders>
        <w:shd w:color="auto" w:fill="d3dfee" w:themeFill="accent1" w:themeFillTint="00003F" w:val="clear"/>
      </w:tcPr>
    </w:tblStylePr>
    <w:tblStylePr w:type="band2Horz">
      <w:tblPr/>
      <w:tcPr>
        <w:tcBorders>
          <w:insideH w:space="0" w:sz="0" w:val="nil"/>
          <w:insideV w:space="0" w:sz="0" w:val="nil"/>
        </w:tcBorders>
      </w:tcPr>
    </w:tblStylePr>
  </w:style>
  <w:style w:type="table" w:styleId="LightList-Accent1">
    <w:name w:val="Light List Accent 1"/>
    <w:basedOn w:val="TableNormal"/>
    <w:uiPriority w:val="61"/>
    <w:rsid w:val="0023393D"/>
    <w:pPr>
      <w:spacing w:after="0" w:before="0"/>
    </w:pPr>
    <w:tblPr>
      <w:tblStyleRowBandSize w:val="1"/>
      <w:tblStyleColBandSize w:val="1"/>
      <w:tblBorders>
        <w:top w:color="4f81bd" w:space="0" w:sz="8" w:themeColor="accent1" w:val="single"/>
        <w:left w:color="4f81bd" w:space="0" w:sz="8" w:themeColor="accent1" w:val="single"/>
        <w:bottom w:color="4f81bd" w:space="0" w:sz="8" w:themeColor="accent1" w:val="single"/>
        <w:right w:color="4f81bd" w:space="0" w:sz="8" w:themeColor="accent1" w:val="single"/>
      </w:tblBorders>
    </w:tblPr>
    <w:tblStylePr w:type="firstRow">
      <w:pPr>
        <w:spacing w:after="0" w:before="0" w:line="240" w:lineRule="auto"/>
      </w:pPr>
      <w:rPr>
        <w:b w:val="1"/>
        <w:bCs w:val="1"/>
        <w:color w:val="ffffff" w:themeColor="background1"/>
      </w:rPr>
      <w:tblPr/>
      <w:tcPr>
        <w:shd w:color="auto" w:fill="4f81bd" w:themeFill="accent1" w:val="clear"/>
      </w:tcPr>
    </w:tblStylePr>
    <w:tblStylePr w:type="lastRow">
      <w:pPr>
        <w:spacing w:after="0" w:before="0" w:line="240" w:lineRule="auto"/>
      </w:pPr>
      <w:rPr>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tcBorders>
      </w:tcPr>
    </w:tblStylePr>
    <w:tblStylePr w:type="firstCol">
      <w:rPr>
        <w:b w:val="1"/>
        <w:bCs w:val="1"/>
      </w:rPr>
    </w:tblStylePr>
    <w:tblStylePr w:type="lastCol">
      <w:rPr>
        <w:b w:val="1"/>
        <w:bCs w:val="1"/>
      </w:r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style>
  <w:style w:type="character" w:styleId="FollowedHyperlink">
    <w:name w:val="FollowedHyperlink"/>
    <w:basedOn w:val="DefaultParagraphFont"/>
    <w:uiPriority w:val="99"/>
    <w:semiHidden w:val="1"/>
    <w:unhideWhenUsed w:val="1"/>
    <w:rsid w:val="00D55D28"/>
    <w:rPr>
      <w:color w:val="800080" w:themeColor="followedHyperlink"/>
      <w:u w:val="single"/>
    </w:rPr>
  </w:style>
  <w:style w:type="paragraph" w:styleId="NormalISHRstyle" w:customStyle="1">
    <w:name w:val="Normal_ISHR style"/>
    <w:basedOn w:val="Normal"/>
    <w:link w:val="NormalISHRstyleChar"/>
    <w:qFormat w:val="1"/>
    <w:rsid w:val="008B656B"/>
    <w:pPr>
      <w:spacing w:after="200"/>
    </w:pPr>
    <w:rPr>
      <w:rFonts w:eastAsia="Cambria"/>
    </w:rPr>
  </w:style>
  <w:style w:type="character" w:styleId="NormalISHRstyleChar" w:customStyle="1">
    <w:name w:val="Normal_ISHR style Char"/>
    <w:link w:val="NormalISHRstyle"/>
    <w:rsid w:val="008B656B"/>
    <w:rPr>
      <w:rFonts w:ascii="Helvetica" w:hAnsi="Helvetica"/>
      <w:sz w:val="22"/>
      <w:szCs w:val="24"/>
      <w:lang w:eastAsia="en-US"/>
    </w:rPr>
  </w:style>
  <w:style w:type="paragraph" w:styleId="SubjectISHR" w:customStyle="1">
    <w:name w:val="Subject_ISHR"/>
    <w:basedOn w:val="Normal"/>
    <w:rsid w:val="00447C43"/>
    <w:pPr>
      <w:spacing w:after="120"/>
    </w:pPr>
    <w:rPr>
      <w:rFonts w:eastAsia="Cambria"/>
      <w:b w:val="1"/>
    </w:rPr>
  </w:style>
  <w:style w:type="paragraph" w:styleId="NormalISHRstylecontact" w:customStyle="1">
    <w:name w:val="Normal_ISHR style_contact"/>
    <w:basedOn w:val="Normal"/>
    <w:rsid w:val="00447C43"/>
    <w:pPr>
      <w:spacing w:after="0" w:before="0"/>
    </w:pPr>
    <w:rPr>
      <w:rFonts w:eastAsia="Cambria"/>
      <w:szCs w:val="20"/>
    </w:rPr>
  </w:style>
  <w:style w:type="character" w:styleId="UnresolvedMention1" w:customStyle="1">
    <w:name w:val="Unresolved Mention1"/>
    <w:basedOn w:val="DefaultParagraphFont"/>
    <w:uiPriority w:val="99"/>
    <w:semiHidden w:val="1"/>
    <w:unhideWhenUsed w:val="1"/>
    <w:rsid w:val="000A4B6A"/>
    <w:rPr>
      <w:color w:val="605e5c"/>
      <w:shd w:color="auto" w:fill="e1dfdd" w:val="clear"/>
    </w:rPr>
  </w:style>
  <w:style w:type="character" w:styleId="UnresolvedMention2" w:customStyle="1">
    <w:name w:val="Unresolved Mention2"/>
    <w:basedOn w:val="DefaultParagraphFont"/>
    <w:uiPriority w:val="99"/>
    <w:semiHidden w:val="1"/>
    <w:unhideWhenUsed w:val="1"/>
    <w:rsid w:val="00AA7746"/>
    <w:rPr>
      <w:color w:val="605e5c"/>
      <w:shd w:color="auto" w:fill="e1dfdd" w:val="clear"/>
    </w:rPr>
  </w:style>
  <w:style w:type="paragraph" w:styleId="Default" w:customStyle="1">
    <w:name w:val="Default"/>
    <w:rsid w:val="003C3CED"/>
    <w:pPr>
      <w:autoSpaceDE w:val="0"/>
      <w:autoSpaceDN w:val="0"/>
      <w:adjustRightInd w:val="0"/>
      <w:spacing w:after="0" w:before="0"/>
    </w:pPr>
    <w:rPr>
      <w:rFonts w:ascii="Arial" w:cs="Arial" w:hAnsi="Arial" w:eastAsiaTheme="minorEastAsia"/>
      <w:color w:val="000000"/>
      <w:sz w:val="24"/>
      <w:szCs w:val="24"/>
    </w:rPr>
  </w:style>
  <w:style w:type="paragraph" w:styleId="NoSpacing">
    <w:name w:val="No Spacing"/>
    <w:uiPriority w:val="1"/>
    <w:qFormat w:val="1"/>
    <w:rsid w:val="000C5522"/>
    <w:pPr>
      <w:spacing w:after="0" w:before="0"/>
    </w:pPr>
    <w:rPr>
      <w:rFonts w:asciiTheme="minorHAnsi" w:cstheme="minorBidi" w:eastAsiaTheme="minorHAnsi" w:hAnsiTheme="minorHAnsi"/>
      <w:sz w:val="22"/>
      <w:szCs w:val="22"/>
      <w:lang w:eastAsia="en-US" w:val="fr-CH"/>
    </w:rPr>
  </w:style>
  <w:style w:type="table" w:styleId="a" w:customStyle="1">
    <w:basedOn w:val="TableNormal"/>
    <w:pPr>
      <w:spacing w:after="0" w:before="0"/>
    </w:pPr>
    <w:tblPr>
      <w:tblStyleRowBandSize w:val="1"/>
      <w:tblStyleColBandSize w:val="1"/>
    </w:tblPr>
  </w:style>
  <w:style w:type="table" w:styleId="a0" w:customStyle="1">
    <w:basedOn w:val="TableNormal"/>
    <w:pPr>
      <w:spacing w:after="0" w:before="0"/>
    </w:pPr>
    <w:tblPr>
      <w:tblStyleRowBandSize w:val="1"/>
      <w:tblStyleColBandSize w:val="1"/>
    </w:tblPr>
  </w:style>
  <w:style w:type="character" w:styleId="UnresolvedMention">
    <w:name w:val="Unresolved Mention"/>
    <w:basedOn w:val="DefaultParagraphFont"/>
    <w:uiPriority w:val="99"/>
    <w:semiHidden w:val="1"/>
    <w:unhideWhenUsed w:val="1"/>
    <w:rsid w:val="006744DB"/>
    <w:rPr>
      <w:color w:val="605e5c"/>
      <w:shd w:color="auto" w:fill="e1dfdd" w:val="clear"/>
    </w:rPr>
  </w:style>
  <w:style w:type="table" w:styleId="Table1">
    <w:basedOn w:val="TableNormal"/>
    <w:pPr>
      <w:spacing w:after="0" w:before="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before="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hyperlink" Target="https://www.acdhrs.org/ngo-forum/" TargetMode="External"/><Relationship Id="rId10" Type="http://schemas.openxmlformats.org/officeDocument/2006/relationships/hyperlink" Target="https://academy.ishr.ch/learn/achpr" TargetMode="External"/><Relationship Id="rId13" Type="http://schemas.openxmlformats.org/officeDocument/2006/relationships/image" Target="media/image4.jpg"/><Relationship Id="rId12" Type="http://schemas.openxmlformats.org/officeDocument/2006/relationships/hyperlink" Target="https://academy.ishr.ch/learn/achp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ishr.ch/" TargetMode="External"/><Relationship Id="rId15" Type="http://schemas.openxmlformats.org/officeDocument/2006/relationships/hyperlink" Target="https://app.smartsheet.com/b/form/f3dfe0995edb40f8ad85871d8c179aa9" TargetMode="External"/><Relationship Id="rId14" Type="http://schemas.openxmlformats.org/officeDocument/2006/relationships/image" Target="media/image2.jpg"/><Relationship Id="rId17" Type="http://schemas.openxmlformats.org/officeDocument/2006/relationships/header" Target="header1.xml"/><Relationship Id="rId16" Type="http://schemas.openxmlformats.org/officeDocument/2006/relationships/hyperlink" Target="mailto:training@ishr.ch"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2.xml"/><Relationship Id="rId7" Type="http://schemas.openxmlformats.org/officeDocument/2006/relationships/hyperlink" Target="https://ishr.ch/latest-updates/call-for-application-2-days-training-ahead-of-the-african-commission-on-human-and-peoples-rights" TargetMode="External"/><Relationship Id="rId8" Type="http://schemas.openxmlformats.org/officeDocument/2006/relationships/hyperlink" Target="https://app.smartsheet.com/b/form/f3dfe0995edb40f8ad85871d8c179aa9"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NotoSansSymbols-bold.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9" Type="http://schemas.openxmlformats.org/officeDocument/2006/relationships/font" Target="fonts/NotoSansSymbols-regular.ttf"/><Relationship Id="rId14" Type="http://schemas.openxmlformats.org/officeDocument/2006/relationships/font" Target="fonts/OpenSans-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Aa58XoXPZ559U1emp5VaPh8ayw==">CgMxLjAyDmgueTdxaTMzYTVkcXhhMg5oLmh4bG9pcW1zZDE2ODIOaC41dmgwejJ2ZzJoemEyCWguM2R5NnZrbTIOaC5nMWMwZXdjN3ZzOXkyDmgubDk1MWdyZHBzamc2Mg5oLnIzbjN0a3h2cWw0YzgAciExQlE5T0t1X2N0ZnMwX2NzNGhsTURrZFhScVhEbTZMMng=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2022-10-23T17:38:00.0000000Z</dcterms:created>
  <dc:creator>M 3</dc:creator>
</cp:coreProperties>
</file>