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C33AC" w14:textId="77777777" w:rsidR="00EC2674" w:rsidRDefault="00EC2674" w:rsidP="00EC2674">
      <w:pPr>
        <w:spacing w:before="240" w:after="240"/>
        <w:jc w:val="center"/>
        <w:rPr>
          <w:b/>
          <w:bCs/>
        </w:rPr>
      </w:pPr>
      <w:r>
        <w:rPr>
          <w:b/>
          <w:bCs/>
        </w:rPr>
        <w:t>12th Session of the open-ended intergovernmental working group on transnational corporations and other business enterprises with respect to human rights</w:t>
      </w:r>
    </w:p>
    <w:p w14:paraId="3F970E88" w14:textId="77777777" w:rsidR="00154AD4" w:rsidRDefault="009747FF">
      <w:pPr>
        <w:jc w:val="both"/>
        <w:rPr>
          <w:sz w:val="23"/>
          <w:szCs w:val="23"/>
        </w:rPr>
      </w:pPr>
      <w:r>
        <w:rPr>
          <w:sz w:val="23"/>
          <w:szCs w:val="23"/>
        </w:rPr>
        <w:t xml:space="preserve">Thank you Chair. I am speaking on behalf of CIEL, Franciscans International, FIAN International and the International Service of Human Rights. </w:t>
      </w:r>
    </w:p>
    <w:p w14:paraId="3F970E89" w14:textId="77777777" w:rsidR="00154AD4" w:rsidRDefault="00154AD4">
      <w:pPr>
        <w:jc w:val="both"/>
        <w:rPr>
          <w:sz w:val="23"/>
          <w:szCs w:val="23"/>
        </w:rPr>
      </w:pPr>
    </w:p>
    <w:p w14:paraId="3F970E8A" w14:textId="77777777" w:rsidR="00154AD4" w:rsidRDefault="009747FF">
      <w:pPr>
        <w:jc w:val="both"/>
        <w:rPr>
          <w:sz w:val="23"/>
          <w:szCs w:val="23"/>
        </w:rPr>
      </w:pPr>
      <w:r>
        <w:rPr>
          <w:sz w:val="23"/>
          <w:szCs w:val="23"/>
        </w:rPr>
        <w:t xml:space="preserve">We strongly support Article 14.5 as it has been suggested by the Chair. </w:t>
      </w:r>
    </w:p>
    <w:p w14:paraId="3F970E8B" w14:textId="77777777" w:rsidR="00154AD4" w:rsidRDefault="00154AD4">
      <w:pPr>
        <w:jc w:val="both"/>
        <w:rPr>
          <w:sz w:val="23"/>
          <w:szCs w:val="23"/>
        </w:rPr>
      </w:pPr>
    </w:p>
    <w:p w14:paraId="3F970E8C" w14:textId="77777777" w:rsidR="00154AD4" w:rsidRDefault="009747FF">
      <w:pPr>
        <w:jc w:val="both"/>
        <w:rPr>
          <w:sz w:val="23"/>
          <w:szCs w:val="23"/>
        </w:rPr>
      </w:pPr>
      <w:r>
        <w:rPr>
          <w:sz w:val="23"/>
          <w:szCs w:val="23"/>
        </w:rPr>
        <w:t xml:space="preserve">The Article as currently redrafted would ensure that the human rights obligations of States arising from this LBI shall not be trumped by other international agreements, most notably trade and investment agreements. This is a very serious and practical issue that many countries are faced with, in particular in the context of Investor-State Dispute Settlement (ISDS), as we have heard from other interventions. In this context, </w:t>
      </w:r>
      <w:r>
        <w:rPr>
          <w:color w:val="1F1F1F"/>
          <w:sz w:val="23"/>
          <w:szCs w:val="23"/>
        </w:rPr>
        <w:t xml:space="preserve">we would support Brazil’s suggestion to mention dispute settlement mechanisms explicitly. </w:t>
      </w:r>
    </w:p>
    <w:p w14:paraId="3F970E8D" w14:textId="77777777" w:rsidR="00154AD4" w:rsidRDefault="00154AD4">
      <w:pPr>
        <w:jc w:val="both"/>
        <w:rPr>
          <w:sz w:val="23"/>
          <w:szCs w:val="23"/>
        </w:rPr>
      </w:pPr>
    </w:p>
    <w:p w14:paraId="3F970E8E" w14:textId="77777777" w:rsidR="00154AD4" w:rsidRDefault="009747FF">
      <w:pPr>
        <w:jc w:val="both"/>
        <w:rPr>
          <w:sz w:val="23"/>
          <w:szCs w:val="23"/>
        </w:rPr>
      </w:pPr>
      <w:r>
        <w:rPr>
          <w:sz w:val="23"/>
          <w:szCs w:val="23"/>
        </w:rPr>
        <w:t xml:space="preserve">ISDS allows aggrieved foreign investors to bypass national courts and sue States directly before supranational panels composed of arbitrators, appointed on a case-by-case basis. Corporations use ISDS to sue States over environmental, labor, or human rights policies, which in turn deters governments from taking similar actions, which is known as “regulatory chill.” </w:t>
      </w:r>
      <w:r>
        <w:rPr>
          <w:sz w:val="23"/>
          <w:szCs w:val="23"/>
        </w:rPr>
        <w:t xml:space="preserve">Arbitrators’ decisions are not bound by precedent nor subject to appeal.  Proceedings and awards are also extremely costly, which not only diverts public resources away from measures in favor of the public good; but also pushes governments to adopt austerity and other measures that further impact on the enjoyment of various human rights. </w:t>
      </w:r>
    </w:p>
    <w:p w14:paraId="3F970E8F" w14:textId="77777777" w:rsidR="00154AD4" w:rsidRDefault="009747FF">
      <w:pPr>
        <w:jc w:val="both"/>
        <w:rPr>
          <w:color w:val="1F1F1F"/>
          <w:sz w:val="23"/>
          <w:szCs w:val="23"/>
        </w:rPr>
      </w:pPr>
      <w:r>
        <w:rPr>
          <w:sz w:val="23"/>
          <w:szCs w:val="23"/>
        </w:rPr>
        <w:br/>
      </w:r>
      <w:r>
        <w:rPr>
          <w:sz w:val="23"/>
          <w:szCs w:val="23"/>
        </w:rPr>
        <w:t xml:space="preserve">International investment agreements typically emphasize investor protections without imposing corresponding obligations on those investors to uphold human rights, creating an imbalance that sidelines human rights obligations. And this is often reflected in decisions by arbitration tribunals, which often give less importance, or even discard, existing States’ human rights obligations when assessing whether the challenged state action is </w:t>
      </w:r>
      <w:r>
        <w:rPr>
          <w:color w:val="1F1F1F"/>
          <w:sz w:val="23"/>
          <w:szCs w:val="23"/>
        </w:rPr>
        <w:t xml:space="preserve">"reasonable," "proportional," or "non-discriminatory." </w:t>
      </w:r>
    </w:p>
    <w:p w14:paraId="3F970E90" w14:textId="77777777" w:rsidR="00154AD4" w:rsidRDefault="00154AD4">
      <w:pPr>
        <w:jc w:val="both"/>
        <w:rPr>
          <w:color w:val="1F1F1F"/>
          <w:sz w:val="23"/>
          <w:szCs w:val="23"/>
          <w:shd w:val="clear" w:color="auto" w:fill="B6D7A8"/>
        </w:rPr>
      </w:pPr>
    </w:p>
    <w:p w14:paraId="3F970E91" w14:textId="77777777" w:rsidR="00154AD4" w:rsidRDefault="009747FF">
      <w:pPr>
        <w:jc w:val="both"/>
        <w:rPr>
          <w:color w:val="1F1F1F"/>
          <w:sz w:val="23"/>
          <w:szCs w:val="23"/>
        </w:rPr>
      </w:pPr>
      <w:r>
        <w:rPr>
          <w:sz w:val="23"/>
          <w:szCs w:val="23"/>
        </w:rPr>
        <w:t xml:space="preserve">This Article does not introduce new obligations or create a new legal hierarchy as proposed by some delegations - rather it simply emphasizes the primacy of human rights law and reiterates a principle in line with </w:t>
      </w:r>
      <w:r>
        <w:rPr>
          <w:color w:val="1F1F1F"/>
          <w:sz w:val="23"/>
          <w:szCs w:val="23"/>
        </w:rPr>
        <w:t>the Vienna Convention of the Law of the Treaty. T</w:t>
      </w:r>
      <w:r>
        <w:rPr>
          <w:sz w:val="23"/>
          <w:szCs w:val="23"/>
        </w:rPr>
        <w:t xml:space="preserve">his provision reflects current practice by the majority of States, including by some of those that are opposing this Article, in reviewing their international trade and investment agreements with respect to their international obligations. </w:t>
      </w:r>
    </w:p>
    <w:p w14:paraId="3F970E92" w14:textId="77777777" w:rsidR="00154AD4" w:rsidRDefault="00154AD4">
      <w:pPr>
        <w:jc w:val="both"/>
        <w:rPr>
          <w:color w:val="1F1F1F"/>
          <w:sz w:val="24"/>
          <w:szCs w:val="24"/>
        </w:rPr>
      </w:pPr>
    </w:p>
    <w:p w14:paraId="3F970E93" w14:textId="77777777" w:rsidR="00154AD4" w:rsidRDefault="009747FF">
      <w:pPr>
        <w:jc w:val="both"/>
      </w:pPr>
      <w:r>
        <w:t xml:space="preserve">Thank you Chair. </w:t>
      </w:r>
    </w:p>
    <w:p w14:paraId="3F970E94" w14:textId="77777777" w:rsidR="00154AD4" w:rsidRDefault="00154AD4">
      <w:pPr>
        <w:jc w:val="both"/>
      </w:pPr>
    </w:p>
    <w:p w14:paraId="3F970E95" w14:textId="77777777" w:rsidR="00154AD4" w:rsidRDefault="00154AD4"/>
    <w:sectPr w:rsidR="00154A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3509E33-9964-4449-B888-BA3D505B87BE}"/>
  </w:font>
  <w:font w:name="Cambria">
    <w:panose1 w:val="02040503050406030204"/>
    <w:charset w:val="00"/>
    <w:family w:val="roman"/>
    <w:pitch w:val="variable"/>
    <w:sig w:usb0="E00006FF" w:usb1="420024FF" w:usb2="02000000" w:usb3="00000000" w:csb0="0000019F" w:csb1="00000000"/>
    <w:embedRegular r:id="rId2" w:fontKey="{BB4A232B-3D8E-41C6-B5B9-6DFFE4B6162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AD4"/>
    <w:rsid w:val="00154AD4"/>
    <w:rsid w:val="009A4C36"/>
    <w:rsid w:val="00EC2674"/>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70E88"/>
  <w15:docId w15:val="{7501F704-BF1D-452D-ACDE-2DE427C80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44c606-e6ee-402e-919f-9041c1c11a88" xsi:nil="true"/>
    <lcf76f155ced4ddcb4097134ff3c332f xmlns="d05a1137-3bce-4b9c-b875-77f8cc4a45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A4A97593374A439E84F04E86040B0E" ma:contentTypeVersion="15" ma:contentTypeDescription="Create a new document." ma:contentTypeScope="" ma:versionID="f0f550307e87f188bbc133c9c16d54e3">
  <xsd:schema xmlns:xsd="http://www.w3.org/2001/XMLSchema" xmlns:xs="http://www.w3.org/2001/XMLSchema" xmlns:p="http://schemas.microsoft.com/office/2006/metadata/properties" xmlns:ns2="d05a1137-3bce-4b9c-b875-77f8cc4a4549" xmlns:ns3="c244c606-e6ee-402e-919f-9041c1c11a88" targetNamespace="http://schemas.microsoft.com/office/2006/metadata/properties" ma:root="true" ma:fieldsID="f9be42506a9c95f9b1d4ebd664d74a75" ns2:_="" ns3:_="">
    <xsd:import namespace="d05a1137-3bce-4b9c-b875-77f8cc4a4549"/>
    <xsd:import namespace="c244c606-e6ee-402e-919f-9041c1c11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a1137-3bce-4b9c-b875-77f8cc4a4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c011b1-d523-4c6e-bb5e-439a641ee74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4c606-e6ee-402e-919f-9041c1c11a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6a84b-feda-4a3e-8636-64053a7c2128}" ma:internalName="TaxCatchAll" ma:showField="CatchAllData" ma:web="c244c606-e6ee-402e-919f-9041c1c11a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C4AEAD-3D45-4BF1-8DBF-28AB44BD3C2D}">
  <ds:schemaRefs>
    <ds:schemaRef ds:uri="http://schemas.microsoft.com/office/2006/metadata/properties"/>
    <ds:schemaRef ds:uri="http://schemas.microsoft.com/office/infopath/2007/PartnerControls"/>
    <ds:schemaRef ds:uri="c244c606-e6ee-402e-919f-9041c1c11a88"/>
    <ds:schemaRef ds:uri="d05a1137-3bce-4b9c-b875-77f8cc4a4549"/>
  </ds:schemaRefs>
</ds:datastoreItem>
</file>

<file path=customXml/itemProps2.xml><?xml version="1.0" encoding="utf-8"?>
<ds:datastoreItem xmlns:ds="http://schemas.openxmlformats.org/officeDocument/2006/customXml" ds:itemID="{9DCA06D9-EFF8-42DA-BEB3-56E44B9009D7}">
  <ds:schemaRefs>
    <ds:schemaRef ds:uri="http://schemas.microsoft.com/sharepoint/v3/contenttype/forms"/>
  </ds:schemaRefs>
</ds:datastoreItem>
</file>

<file path=customXml/itemProps3.xml><?xml version="1.0" encoding="utf-8"?>
<ds:datastoreItem xmlns:ds="http://schemas.openxmlformats.org/officeDocument/2006/customXml" ds:itemID="{EDD89DCA-7B2A-438B-AA9B-F9B8CD2C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a1137-3bce-4b9c-b875-77f8cc4a4549"/>
    <ds:schemaRef ds:uri="c244c606-e6ee-402e-919f-9041c1c11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Ulises Quero</cp:lastModifiedBy>
  <cp:revision>2</cp:revision>
  <dcterms:created xsi:type="dcterms:W3CDTF">2026-10-28T15:47:00Z</dcterms:created>
  <dcterms:modified xsi:type="dcterms:W3CDTF">2026-10-28T15:50:00Z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0x010100F7A4A97593374A439E84F04E86040B0E</vt:lpwstr>
  </property>
  <property fmtid="{D5CDD505-2E9C-101B-9397-08002B2CF9AE}" pid="3" name="MediaServiceImageTags">
    <vt:lpwstr/>
  </property>
</Properties>
</file>